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97115B" w14:textId="0768CF19" w:rsidR="00D05504" w:rsidRPr="004F743E" w:rsidRDefault="00004375" w:rsidP="004F743E">
      <w:pPr>
        <w:pBdr>
          <w:top w:val="nil"/>
          <w:left w:val="nil"/>
          <w:bottom w:val="nil"/>
          <w:right w:val="nil"/>
          <w:between w:val="nil"/>
        </w:pBdr>
        <w:spacing w:beforeLines="60" w:before="144" w:afterLines="60" w:after="144" w:line="276" w:lineRule="auto"/>
        <w:ind w:firstLine="567"/>
        <w:jc w:val="center"/>
        <w:rPr>
          <w:rFonts w:ascii="Tahoma" w:eastAsia="Arial" w:hAnsi="Tahoma" w:cs="Tahoma"/>
          <w:b/>
          <w:sz w:val="20"/>
          <w:szCs w:val="20"/>
        </w:rPr>
      </w:pPr>
      <w:r w:rsidRPr="004F743E">
        <w:rPr>
          <w:rFonts w:ascii="Tahoma" w:eastAsia="Arial" w:hAnsi="Tahoma" w:cs="Tahoma"/>
          <w:b/>
          <w:color w:val="000000"/>
          <w:sz w:val="20"/>
          <w:szCs w:val="20"/>
        </w:rPr>
        <w:t>PROJETO BÁSICO</w:t>
      </w:r>
    </w:p>
    <w:p w14:paraId="14819E36" w14:textId="77777777" w:rsidR="00D05504" w:rsidRPr="004F743E" w:rsidRDefault="00004375" w:rsidP="004F743E">
      <w:pPr>
        <w:pBdr>
          <w:top w:val="nil"/>
          <w:left w:val="nil"/>
          <w:bottom w:val="nil"/>
          <w:right w:val="nil"/>
          <w:between w:val="nil"/>
        </w:pBdr>
        <w:spacing w:beforeLines="60" w:before="144" w:afterLines="60" w:after="144" w:line="276" w:lineRule="auto"/>
        <w:ind w:firstLine="567"/>
        <w:jc w:val="center"/>
        <w:rPr>
          <w:rFonts w:ascii="Tahoma" w:eastAsia="Arial" w:hAnsi="Tahoma" w:cs="Tahoma"/>
          <w:b/>
          <w:color w:val="000000"/>
          <w:sz w:val="20"/>
          <w:szCs w:val="20"/>
        </w:rPr>
      </w:pPr>
      <w:r w:rsidRPr="004F743E">
        <w:rPr>
          <w:rFonts w:ascii="Tahoma" w:eastAsia="Arial" w:hAnsi="Tahoma" w:cs="Tahoma"/>
          <w:b/>
          <w:color w:val="000000"/>
          <w:sz w:val="20"/>
          <w:szCs w:val="20"/>
        </w:rPr>
        <w:t>OBRAS E SERVIÇOS DE ENGENHARIA – LICITAÇÃO</w:t>
      </w:r>
    </w:p>
    <w:p w14:paraId="4B9F4267" w14:textId="71D704DF" w:rsidR="00D05504" w:rsidRPr="004F743E" w:rsidRDefault="00004375" w:rsidP="004F743E">
      <w:pPr>
        <w:pBdr>
          <w:top w:val="nil"/>
          <w:left w:val="nil"/>
          <w:bottom w:val="nil"/>
          <w:right w:val="nil"/>
          <w:between w:val="nil"/>
        </w:pBdr>
        <w:spacing w:beforeLines="60" w:before="144" w:afterLines="60" w:after="144" w:line="276" w:lineRule="auto"/>
        <w:ind w:firstLine="567"/>
        <w:jc w:val="center"/>
        <w:rPr>
          <w:rFonts w:ascii="Tahoma" w:eastAsia="Arial" w:hAnsi="Tahoma" w:cs="Tahoma"/>
          <w:b/>
          <w:color w:val="000000"/>
          <w:sz w:val="20"/>
          <w:szCs w:val="20"/>
        </w:rPr>
      </w:pPr>
      <w:r w:rsidRPr="004F743E">
        <w:rPr>
          <w:rFonts w:ascii="Tahoma" w:eastAsia="Arial" w:hAnsi="Tahoma" w:cs="Tahoma"/>
          <w:b/>
          <w:color w:val="000000"/>
          <w:sz w:val="20"/>
          <w:szCs w:val="20"/>
        </w:rPr>
        <w:t xml:space="preserve">Processo Administrativo </w:t>
      </w:r>
      <w:r w:rsidRPr="004F743E">
        <w:rPr>
          <w:rFonts w:ascii="Tahoma" w:eastAsia="Arial" w:hAnsi="Tahoma" w:cs="Tahoma"/>
          <w:b/>
          <w:sz w:val="20"/>
          <w:szCs w:val="20"/>
        </w:rPr>
        <w:t>Nº 22336</w:t>
      </w:r>
      <w:r w:rsidRPr="004F743E">
        <w:rPr>
          <w:rFonts w:ascii="Tahoma" w:eastAsia="Arial" w:hAnsi="Tahoma" w:cs="Tahoma"/>
          <w:b/>
          <w:color w:val="000000"/>
          <w:sz w:val="20"/>
          <w:szCs w:val="20"/>
        </w:rPr>
        <w:t>/2025.</w:t>
      </w:r>
    </w:p>
    <w:p w14:paraId="57825D76" w14:textId="77777777" w:rsidR="00D05504" w:rsidRPr="004F743E" w:rsidRDefault="00D05504" w:rsidP="004F743E">
      <w:pPr>
        <w:pBdr>
          <w:top w:val="nil"/>
          <w:left w:val="nil"/>
          <w:bottom w:val="nil"/>
          <w:right w:val="nil"/>
          <w:between w:val="nil"/>
        </w:pBdr>
        <w:spacing w:beforeLines="60" w:before="144" w:afterLines="60" w:after="144" w:line="276" w:lineRule="auto"/>
        <w:ind w:firstLine="567"/>
        <w:jc w:val="both"/>
        <w:rPr>
          <w:rFonts w:ascii="Tahoma" w:eastAsia="Arial" w:hAnsi="Tahoma" w:cs="Tahoma"/>
          <w:b/>
          <w:sz w:val="20"/>
          <w:szCs w:val="20"/>
        </w:rPr>
      </w:pPr>
    </w:p>
    <w:p w14:paraId="3F484FE9" w14:textId="77777777" w:rsidR="00D05504" w:rsidRPr="004F743E" w:rsidRDefault="00004375" w:rsidP="004F743E">
      <w:pPr>
        <w:keepNext/>
        <w:keepLines/>
        <w:numPr>
          <w:ilvl w:val="0"/>
          <w:numId w:val="14"/>
        </w:numPr>
        <w:pBdr>
          <w:top w:val="nil"/>
          <w:left w:val="nil"/>
          <w:bottom w:val="nil"/>
          <w:right w:val="nil"/>
          <w:between w:val="nil"/>
        </w:pBdr>
        <w:tabs>
          <w:tab w:val="left" w:pos="567"/>
        </w:tabs>
        <w:spacing w:beforeLines="60" w:before="144" w:afterLines="60" w:after="144" w:line="276" w:lineRule="auto"/>
        <w:jc w:val="both"/>
        <w:rPr>
          <w:rFonts w:ascii="Tahoma" w:eastAsia="Arial" w:hAnsi="Tahoma" w:cs="Tahoma"/>
          <w:color w:val="000000"/>
          <w:sz w:val="20"/>
          <w:szCs w:val="20"/>
        </w:rPr>
      </w:pPr>
      <w:bookmarkStart w:id="0" w:name="_heading=h.wxpjl58fo8u9" w:colFirst="0" w:colLast="0"/>
      <w:bookmarkEnd w:id="0"/>
      <w:r w:rsidRPr="004F743E">
        <w:rPr>
          <w:rFonts w:ascii="Tahoma" w:eastAsia="Arial" w:hAnsi="Tahoma" w:cs="Tahoma"/>
          <w:b/>
          <w:color w:val="000000"/>
          <w:sz w:val="20"/>
          <w:szCs w:val="20"/>
        </w:rPr>
        <w:t>CONDIÇÕES GERAIS DA CONTRATAÇÃO</w:t>
      </w:r>
    </w:p>
    <w:p w14:paraId="542E6187" w14:textId="77777777" w:rsidR="00D05504" w:rsidRPr="004F743E" w:rsidRDefault="00004375" w:rsidP="004F743E">
      <w:pPr>
        <w:keepNext/>
        <w:keepLines/>
        <w:pBdr>
          <w:top w:val="nil"/>
          <w:left w:val="nil"/>
          <w:bottom w:val="nil"/>
          <w:right w:val="nil"/>
          <w:between w:val="nil"/>
        </w:pBdr>
        <w:tabs>
          <w:tab w:val="left" w:pos="567"/>
        </w:tabs>
        <w:spacing w:beforeLines="60" w:before="144" w:afterLines="60" w:after="144" w:line="276" w:lineRule="auto"/>
        <w:ind w:hanging="141"/>
        <w:jc w:val="both"/>
        <w:rPr>
          <w:rFonts w:ascii="Tahoma" w:eastAsia="Arial" w:hAnsi="Tahoma" w:cs="Tahoma"/>
          <w:b/>
          <w:sz w:val="20"/>
          <w:szCs w:val="20"/>
        </w:rPr>
      </w:pPr>
      <w:bookmarkStart w:id="1" w:name="_heading=h.8ima1sj1me73" w:colFirst="0" w:colLast="0"/>
      <w:bookmarkEnd w:id="1"/>
      <w:r w:rsidRPr="009A2CAC">
        <w:rPr>
          <w:rFonts w:ascii="Tahoma" w:eastAsia="Arial" w:hAnsi="Tahoma" w:cs="Tahoma"/>
          <w:bCs/>
          <w:sz w:val="20"/>
          <w:szCs w:val="20"/>
        </w:rPr>
        <w:t>1.</w:t>
      </w:r>
      <w:r w:rsidRPr="009A2CAC">
        <w:rPr>
          <w:rFonts w:ascii="Tahoma" w:eastAsia="Arial" w:hAnsi="Tahoma" w:cs="Tahoma"/>
          <w:sz w:val="20"/>
          <w:szCs w:val="20"/>
        </w:rPr>
        <w:t xml:space="preserve">1 </w:t>
      </w:r>
      <w:r w:rsidRPr="004F743E">
        <w:rPr>
          <w:rFonts w:ascii="Tahoma" w:eastAsia="Arial" w:hAnsi="Tahoma" w:cs="Tahoma"/>
          <w:b/>
          <w:sz w:val="20"/>
          <w:szCs w:val="20"/>
        </w:rPr>
        <w:t xml:space="preserve"> </w:t>
      </w:r>
      <w:r w:rsidRPr="004F743E">
        <w:rPr>
          <w:rFonts w:ascii="Tahoma" w:eastAsia="Arial" w:hAnsi="Tahoma" w:cs="Tahoma"/>
          <w:sz w:val="20"/>
          <w:szCs w:val="20"/>
        </w:rPr>
        <w:t>Este termo de referência traz um conjunto de elementos técnicos necessários e suficientes para caracterizar a obra de maneira precisa, possibilitando a estimativa de custos, a avaliação de viabilidade técnica e a definição clara do objeto a ser contratado, atendendo aos requisitos legais previstos na Lei nº 14.133/2021 (Nova Lei de Licitações), como projeto básico da obra.</w:t>
      </w:r>
    </w:p>
    <w:p w14:paraId="1260679D" w14:textId="77777777" w:rsidR="00D05504" w:rsidRPr="004F743E" w:rsidRDefault="00004375" w:rsidP="004F743E">
      <w:pPr>
        <w:pBdr>
          <w:top w:val="nil"/>
          <w:left w:val="nil"/>
          <w:bottom w:val="nil"/>
          <w:right w:val="nil"/>
          <w:between w:val="nil"/>
        </w:pBdr>
        <w:spacing w:beforeLines="60" w:before="144" w:afterLines="60" w:after="144" w:line="276" w:lineRule="auto"/>
        <w:ind w:hanging="141"/>
        <w:jc w:val="both"/>
        <w:rPr>
          <w:rFonts w:ascii="Tahoma" w:eastAsia="Arial" w:hAnsi="Tahoma" w:cs="Tahoma"/>
          <w:b/>
          <w:color w:val="000000"/>
          <w:sz w:val="20"/>
          <w:szCs w:val="20"/>
        </w:rPr>
      </w:pPr>
      <w:r w:rsidRPr="004F743E">
        <w:rPr>
          <w:rFonts w:ascii="Tahoma" w:eastAsia="Arial" w:hAnsi="Tahoma" w:cs="Tahoma"/>
          <w:sz w:val="20"/>
          <w:szCs w:val="20"/>
        </w:rPr>
        <w:t>1.2  Contratação integrada de empresa especializada para requalificação do Hospital Jorge Novis, situado na Av. Fortaleza, s/n, Largo do Caranguejo, Itinga, Lauro de Freitas-BA, abrangendo a elaboração dos projetos básico e executivo de engenharia e a execução das obras e serviços de requalificação física e funcional, conforme Termo de Referência/Anteprojeto</w:t>
      </w:r>
      <w:r w:rsidRPr="004F743E">
        <w:rPr>
          <w:rFonts w:ascii="Tahoma" w:eastAsia="Arial" w:hAnsi="Tahoma" w:cs="Tahoma"/>
          <w:color w:val="000000"/>
          <w:sz w:val="20"/>
          <w:szCs w:val="20"/>
        </w:rPr>
        <w:t>, conforme condições e exigências estabelecidas neste instrumento.</w:t>
      </w:r>
    </w:p>
    <w:tbl>
      <w:tblPr>
        <w:tblStyle w:val="a5"/>
        <w:tblW w:w="5000" w:type="pct"/>
        <w:tblInd w:w="0" w:type="dxa"/>
        <w:tblLook w:val="0400" w:firstRow="0" w:lastRow="0" w:firstColumn="0" w:lastColumn="0" w:noHBand="0" w:noVBand="1"/>
      </w:tblPr>
      <w:tblGrid>
        <w:gridCol w:w="769"/>
        <w:gridCol w:w="3911"/>
        <w:gridCol w:w="942"/>
        <w:gridCol w:w="1462"/>
        <w:gridCol w:w="994"/>
        <w:gridCol w:w="1550"/>
      </w:tblGrid>
      <w:tr w:rsidR="00D05504" w:rsidRPr="004F743E" w14:paraId="3FDD86A5" w14:textId="77777777" w:rsidTr="004F743E">
        <w:trPr>
          <w:cantSplit/>
          <w:trHeight w:val="842"/>
          <w:tblHeader/>
        </w:trPr>
        <w:tc>
          <w:tcPr>
            <w:tcW w:w="400" w:type="pct"/>
            <w:tcBorders>
              <w:top w:val="single" w:sz="4" w:space="0" w:color="000000"/>
              <w:left w:val="single" w:sz="4" w:space="0" w:color="000000"/>
              <w:bottom w:val="single" w:sz="4" w:space="0" w:color="000000"/>
              <w:right w:val="single" w:sz="4" w:space="0" w:color="000000"/>
            </w:tcBorders>
            <w:vAlign w:val="center"/>
          </w:tcPr>
          <w:p w14:paraId="1773B746" w14:textId="77777777" w:rsidR="00D05504" w:rsidRPr="004F743E" w:rsidRDefault="00004375" w:rsidP="004F743E">
            <w:pPr>
              <w:widowControl w:val="0"/>
              <w:pBdr>
                <w:top w:val="nil"/>
                <w:left w:val="nil"/>
                <w:bottom w:val="nil"/>
                <w:right w:val="nil"/>
                <w:between w:val="nil"/>
              </w:pBdr>
              <w:spacing w:beforeLines="60" w:before="144" w:afterLines="60" w:after="144" w:line="276" w:lineRule="auto"/>
              <w:jc w:val="center"/>
              <w:rPr>
                <w:rFonts w:ascii="Tahoma" w:eastAsia="Arial" w:hAnsi="Tahoma" w:cs="Tahoma"/>
                <w:b/>
                <w:color w:val="000000"/>
                <w:sz w:val="18"/>
                <w:szCs w:val="18"/>
              </w:rPr>
            </w:pPr>
            <w:r w:rsidRPr="004F743E">
              <w:rPr>
                <w:rFonts w:ascii="Tahoma" w:eastAsia="Arial" w:hAnsi="Tahoma" w:cs="Tahoma"/>
                <w:b/>
                <w:color w:val="000000"/>
                <w:sz w:val="18"/>
                <w:szCs w:val="18"/>
              </w:rPr>
              <w:t>ITEM</w:t>
            </w:r>
          </w:p>
        </w:tc>
        <w:tc>
          <w:tcPr>
            <w:tcW w:w="2031" w:type="pct"/>
            <w:tcBorders>
              <w:top w:val="single" w:sz="4" w:space="0" w:color="000000"/>
              <w:left w:val="single" w:sz="4" w:space="0" w:color="000000"/>
              <w:bottom w:val="single" w:sz="4" w:space="0" w:color="000000"/>
              <w:right w:val="single" w:sz="4" w:space="0" w:color="000000"/>
            </w:tcBorders>
            <w:vAlign w:val="center"/>
          </w:tcPr>
          <w:p w14:paraId="4D4AA59C" w14:textId="77777777" w:rsidR="00D05504" w:rsidRPr="004F743E" w:rsidRDefault="00004375" w:rsidP="004F743E">
            <w:pPr>
              <w:widowControl w:val="0"/>
              <w:pBdr>
                <w:top w:val="nil"/>
                <w:left w:val="nil"/>
                <w:bottom w:val="nil"/>
                <w:right w:val="nil"/>
                <w:between w:val="nil"/>
              </w:pBdr>
              <w:spacing w:beforeLines="60" w:before="144" w:afterLines="60" w:after="144" w:line="276" w:lineRule="auto"/>
              <w:jc w:val="center"/>
              <w:rPr>
                <w:rFonts w:ascii="Tahoma" w:eastAsia="Arial" w:hAnsi="Tahoma" w:cs="Tahoma"/>
                <w:color w:val="000000"/>
                <w:sz w:val="18"/>
                <w:szCs w:val="18"/>
              </w:rPr>
            </w:pPr>
            <w:r w:rsidRPr="004F743E">
              <w:rPr>
                <w:rFonts w:ascii="Tahoma" w:eastAsia="Arial" w:hAnsi="Tahoma" w:cs="Tahoma"/>
                <w:b/>
                <w:color w:val="000000"/>
                <w:sz w:val="18"/>
                <w:szCs w:val="18"/>
              </w:rPr>
              <w:t>ESPECIFICAÇÃO</w:t>
            </w:r>
          </w:p>
        </w:tc>
        <w:tc>
          <w:tcPr>
            <w:tcW w:w="489" w:type="pct"/>
            <w:tcBorders>
              <w:top w:val="single" w:sz="4" w:space="0" w:color="000000"/>
              <w:left w:val="single" w:sz="4" w:space="0" w:color="000000"/>
              <w:bottom w:val="single" w:sz="4" w:space="0" w:color="000000"/>
              <w:right w:val="single" w:sz="4" w:space="0" w:color="000000"/>
            </w:tcBorders>
            <w:vAlign w:val="center"/>
          </w:tcPr>
          <w:p w14:paraId="43C03FD1" w14:textId="77777777" w:rsidR="00D05504" w:rsidRPr="004F743E" w:rsidRDefault="00004375" w:rsidP="004F743E">
            <w:pPr>
              <w:widowControl w:val="0"/>
              <w:pBdr>
                <w:top w:val="nil"/>
                <w:left w:val="nil"/>
                <w:bottom w:val="nil"/>
                <w:right w:val="nil"/>
                <w:between w:val="nil"/>
              </w:pBdr>
              <w:spacing w:beforeLines="60" w:before="144" w:afterLines="60" w:after="144" w:line="276" w:lineRule="auto"/>
              <w:jc w:val="center"/>
              <w:rPr>
                <w:rFonts w:ascii="Tahoma" w:eastAsia="Arial" w:hAnsi="Tahoma" w:cs="Tahoma"/>
                <w:color w:val="000000"/>
                <w:sz w:val="18"/>
                <w:szCs w:val="18"/>
              </w:rPr>
            </w:pPr>
            <w:r w:rsidRPr="004F743E">
              <w:rPr>
                <w:rFonts w:ascii="Tahoma" w:eastAsia="Arial" w:hAnsi="Tahoma" w:cs="Tahoma"/>
                <w:b/>
                <w:color w:val="000000"/>
                <w:sz w:val="18"/>
                <w:szCs w:val="18"/>
              </w:rPr>
              <w:t>CATSER</w:t>
            </w:r>
          </w:p>
        </w:tc>
        <w:tc>
          <w:tcPr>
            <w:tcW w:w="759" w:type="pct"/>
            <w:tcBorders>
              <w:top w:val="single" w:sz="4" w:space="0" w:color="000000"/>
              <w:left w:val="single" w:sz="4" w:space="0" w:color="000000"/>
              <w:bottom w:val="single" w:sz="4" w:space="0" w:color="000000"/>
              <w:right w:val="single" w:sz="4" w:space="0" w:color="000000"/>
            </w:tcBorders>
            <w:vAlign w:val="center"/>
          </w:tcPr>
          <w:p w14:paraId="415D0F37" w14:textId="1D214501" w:rsidR="00D05504" w:rsidRPr="004F743E" w:rsidRDefault="00004375" w:rsidP="004F743E">
            <w:pPr>
              <w:widowControl w:val="0"/>
              <w:pBdr>
                <w:top w:val="nil"/>
                <w:left w:val="nil"/>
                <w:bottom w:val="nil"/>
                <w:right w:val="nil"/>
                <w:between w:val="nil"/>
              </w:pBdr>
              <w:spacing w:beforeLines="60" w:before="144" w:afterLines="60" w:after="144" w:line="276" w:lineRule="auto"/>
              <w:jc w:val="center"/>
              <w:rPr>
                <w:rFonts w:ascii="Tahoma" w:eastAsia="Arial" w:hAnsi="Tahoma" w:cs="Tahoma"/>
                <w:color w:val="000000"/>
                <w:sz w:val="18"/>
                <w:szCs w:val="18"/>
              </w:rPr>
            </w:pPr>
            <w:r w:rsidRPr="004F743E">
              <w:rPr>
                <w:rFonts w:ascii="Tahoma" w:eastAsia="Arial" w:hAnsi="Tahoma" w:cs="Tahoma"/>
                <w:b/>
                <w:color w:val="000000"/>
                <w:sz w:val="18"/>
                <w:szCs w:val="18"/>
              </w:rPr>
              <w:t>UNIDADE DE</w:t>
            </w:r>
            <w:r w:rsidR="004F743E" w:rsidRPr="004F743E">
              <w:rPr>
                <w:rFonts w:ascii="Tahoma" w:eastAsia="Arial" w:hAnsi="Tahoma" w:cs="Tahoma"/>
                <w:b/>
                <w:color w:val="000000"/>
                <w:sz w:val="18"/>
                <w:szCs w:val="18"/>
              </w:rPr>
              <w:t xml:space="preserve"> </w:t>
            </w:r>
            <w:r w:rsidRPr="004F743E">
              <w:rPr>
                <w:rFonts w:ascii="Tahoma" w:eastAsia="Arial" w:hAnsi="Tahoma" w:cs="Tahoma"/>
                <w:b/>
                <w:color w:val="000000"/>
                <w:sz w:val="18"/>
                <w:szCs w:val="18"/>
              </w:rPr>
              <w:t>MEDIDA</w:t>
            </w:r>
          </w:p>
        </w:tc>
        <w:tc>
          <w:tcPr>
            <w:tcW w:w="516" w:type="pct"/>
            <w:tcBorders>
              <w:top w:val="single" w:sz="4" w:space="0" w:color="000000"/>
              <w:left w:val="single" w:sz="4" w:space="0" w:color="000000"/>
              <w:bottom w:val="single" w:sz="4" w:space="0" w:color="000000"/>
              <w:right w:val="single" w:sz="4" w:space="0" w:color="000000"/>
            </w:tcBorders>
            <w:vAlign w:val="center"/>
          </w:tcPr>
          <w:p w14:paraId="2A1D861A" w14:textId="67B962A6" w:rsidR="00D05504" w:rsidRPr="004F743E" w:rsidRDefault="004F743E" w:rsidP="004F743E">
            <w:pPr>
              <w:widowControl w:val="0"/>
              <w:pBdr>
                <w:top w:val="nil"/>
                <w:left w:val="nil"/>
                <w:bottom w:val="nil"/>
                <w:right w:val="nil"/>
                <w:between w:val="nil"/>
              </w:pBdr>
              <w:spacing w:beforeLines="60" w:before="144" w:afterLines="60" w:after="144" w:line="276" w:lineRule="auto"/>
              <w:jc w:val="center"/>
              <w:rPr>
                <w:rFonts w:ascii="Tahoma" w:eastAsia="Arial" w:hAnsi="Tahoma" w:cs="Tahoma"/>
                <w:b/>
                <w:color w:val="000000"/>
                <w:sz w:val="18"/>
                <w:szCs w:val="18"/>
              </w:rPr>
            </w:pPr>
            <w:r>
              <w:rPr>
                <w:rFonts w:ascii="Tahoma" w:eastAsia="Arial" w:hAnsi="Tahoma" w:cs="Tahoma"/>
                <w:b/>
                <w:color w:val="000000"/>
                <w:sz w:val="18"/>
                <w:szCs w:val="18"/>
              </w:rPr>
              <w:t>QTD</w:t>
            </w:r>
          </w:p>
        </w:tc>
        <w:tc>
          <w:tcPr>
            <w:tcW w:w="806" w:type="pct"/>
            <w:tcBorders>
              <w:top w:val="single" w:sz="4" w:space="0" w:color="000000"/>
              <w:left w:val="single" w:sz="4" w:space="0" w:color="000000"/>
              <w:bottom w:val="single" w:sz="4" w:space="0" w:color="000000"/>
              <w:right w:val="single" w:sz="4" w:space="0" w:color="000000"/>
            </w:tcBorders>
            <w:vAlign w:val="center"/>
          </w:tcPr>
          <w:p w14:paraId="49AE541C" w14:textId="77777777" w:rsidR="00D05504" w:rsidRPr="004F743E" w:rsidRDefault="00004375" w:rsidP="004F743E">
            <w:pPr>
              <w:widowControl w:val="0"/>
              <w:pBdr>
                <w:top w:val="nil"/>
                <w:left w:val="nil"/>
                <w:bottom w:val="nil"/>
                <w:right w:val="nil"/>
                <w:between w:val="nil"/>
              </w:pBdr>
              <w:spacing w:beforeLines="60" w:before="144" w:afterLines="60" w:after="144" w:line="276" w:lineRule="auto"/>
              <w:jc w:val="center"/>
              <w:rPr>
                <w:rFonts w:ascii="Tahoma" w:eastAsia="Arial" w:hAnsi="Tahoma" w:cs="Tahoma"/>
                <w:b/>
                <w:color w:val="000000"/>
                <w:sz w:val="18"/>
                <w:szCs w:val="18"/>
              </w:rPr>
            </w:pPr>
            <w:r w:rsidRPr="004F743E">
              <w:rPr>
                <w:rFonts w:ascii="Tahoma" w:eastAsia="Arial" w:hAnsi="Tahoma" w:cs="Tahoma"/>
                <w:b/>
                <w:color w:val="000000"/>
                <w:sz w:val="18"/>
                <w:szCs w:val="18"/>
              </w:rPr>
              <w:t>VALOR TOTAL</w:t>
            </w:r>
          </w:p>
        </w:tc>
      </w:tr>
      <w:tr w:rsidR="00D05504" w:rsidRPr="004F743E" w14:paraId="4C695B36" w14:textId="77777777" w:rsidTr="004F743E">
        <w:trPr>
          <w:cantSplit/>
          <w:trHeight w:val="227"/>
          <w:tblHeader/>
        </w:trPr>
        <w:tc>
          <w:tcPr>
            <w:tcW w:w="400" w:type="pct"/>
            <w:tcBorders>
              <w:top w:val="single" w:sz="4" w:space="0" w:color="000000"/>
              <w:left w:val="single" w:sz="4" w:space="0" w:color="000000"/>
              <w:bottom w:val="single" w:sz="4" w:space="0" w:color="000000"/>
              <w:right w:val="single" w:sz="4" w:space="0" w:color="000000"/>
            </w:tcBorders>
            <w:vAlign w:val="center"/>
          </w:tcPr>
          <w:p w14:paraId="308344EE" w14:textId="77777777" w:rsidR="00D05504" w:rsidRPr="004F743E" w:rsidRDefault="00004375" w:rsidP="004F743E">
            <w:pPr>
              <w:widowControl w:val="0"/>
              <w:pBdr>
                <w:top w:val="nil"/>
                <w:left w:val="nil"/>
                <w:bottom w:val="nil"/>
                <w:right w:val="nil"/>
                <w:between w:val="nil"/>
              </w:pBdr>
              <w:spacing w:beforeLines="60" w:before="144" w:afterLines="60" w:after="144" w:line="276" w:lineRule="auto"/>
              <w:jc w:val="center"/>
              <w:rPr>
                <w:rFonts w:ascii="Tahoma" w:eastAsia="Arial" w:hAnsi="Tahoma" w:cs="Tahoma"/>
                <w:b/>
                <w:color w:val="000000"/>
                <w:sz w:val="18"/>
                <w:szCs w:val="18"/>
              </w:rPr>
            </w:pPr>
            <w:r w:rsidRPr="004F743E">
              <w:rPr>
                <w:rFonts w:ascii="Tahoma" w:eastAsia="Arial" w:hAnsi="Tahoma" w:cs="Tahoma"/>
                <w:b/>
                <w:sz w:val="18"/>
                <w:szCs w:val="18"/>
              </w:rPr>
              <w:t>1</w:t>
            </w:r>
          </w:p>
        </w:tc>
        <w:tc>
          <w:tcPr>
            <w:tcW w:w="2031" w:type="pct"/>
            <w:tcBorders>
              <w:top w:val="single" w:sz="4" w:space="0" w:color="000000"/>
              <w:left w:val="single" w:sz="4" w:space="0" w:color="000000"/>
              <w:bottom w:val="single" w:sz="4" w:space="0" w:color="000000"/>
              <w:right w:val="single" w:sz="4" w:space="0" w:color="000000"/>
            </w:tcBorders>
            <w:vAlign w:val="center"/>
          </w:tcPr>
          <w:p w14:paraId="36F821E6" w14:textId="77777777" w:rsidR="00D05504" w:rsidRPr="004F743E" w:rsidRDefault="00004375" w:rsidP="004F743E">
            <w:pPr>
              <w:spacing w:beforeLines="60" w:before="144" w:afterLines="60" w:after="144" w:line="276" w:lineRule="auto"/>
              <w:ind w:hanging="2"/>
              <w:jc w:val="both"/>
              <w:rPr>
                <w:rFonts w:ascii="Tahoma" w:eastAsia="Arial" w:hAnsi="Tahoma" w:cs="Tahoma"/>
                <w:color w:val="000000"/>
                <w:sz w:val="18"/>
                <w:szCs w:val="18"/>
              </w:rPr>
            </w:pPr>
            <w:r w:rsidRPr="004F743E">
              <w:rPr>
                <w:rFonts w:ascii="Tahoma" w:eastAsia="Arial" w:hAnsi="Tahoma" w:cs="Tahoma"/>
                <w:sz w:val="18"/>
                <w:szCs w:val="18"/>
              </w:rPr>
              <w:t>Contratação integrada de empresa especializada para requalificação do Hospital Jorge Novis, abrangendo a elaboração dos projetos básico e executivo de engenharia e a execução das obras e serviços de requalificação física e funcional, conforme Termo de Referência/Anteprojeto.</w:t>
            </w:r>
          </w:p>
        </w:tc>
        <w:tc>
          <w:tcPr>
            <w:tcW w:w="489" w:type="pct"/>
            <w:tcBorders>
              <w:top w:val="single" w:sz="4" w:space="0" w:color="000000"/>
              <w:left w:val="single" w:sz="4" w:space="0" w:color="000000"/>
              <w:bottom w:val="single" w:sz="4" w:space="0" w:color="000000"/>
              <w:right w:val="single" w:sz="4" w:space="0" w:color="000000"/>
            </w:tcBorders>
            <w:vAlign w:val="center"/>
          </w:tcPr>
          <w:p w14:paraId="68393A50" w14:textId="77777777" w:rsidR="00D05504" w:rsidRPr="004F743E" w:rsidRDefault="00004375" w:rsidP="009A2CAC">
            <w:pPr>
              <w:widowControl w:val="0"/>
              <w:pBdr>
                <w:top w:val="nil"/>
                <w:left w:val="nil"/>
                <w:bottom w:val="nil"/>
                <w:right w:val="nil"/>
                <w:between w:val="nil"/>
              </w:pBdr>
              <w:spacing w:beforeLines="60" w:before="144" w:afterLines="60" w:after="144" w:line="276" w:lineRule="auto"/>
              <w:jc w:val="center"/>
              <w:rPr>
                <w:rFonts w:ascii="Tahoma" w:eastAsia="Arial" w:hAnsi="Tahoma" w:cs="Tahoma"/>
                <w:color w:val="000000"/>
                <w:sz w:val="18"/>
                <w:szCs w:val="18"/>
              </w:rPr>
            </w:pPr>
            <w:r w:rsidRPr="004F743E">
              <w:rPr>
                <w:rFonts w:ascii="Tahoma" w:eastAsia="Arial" w:hAnsi="Tahoma" w:cs="Tahoma"/>
                <w:color w:val="000000"/>
                <w:sz w:val="18"/>
                <w:szCs w:val="18"/>
              </w:rPr>
              <w:t>5622</w:t>
            </w:r>
          </w:p>
        </w:tc>
        <w:tc>
          <w:tcPr>
            <w:tcW w:w="759" w:type="pct"/>
            <w:tcBorders>
              <w:top w:val="single" w:sz="4" w:space="0" w:color="000000"/>
              <w:left w:val="single" w:sz="4" w:space="0" w:color="000000"/>
              <w:bottom w:val="single" w:sz="4" w:space="0" w:color="000000"/>
              <w:right w:val="single" w:sz="4" w:space="0" w:color="000000"/>
            </w:tcBorders>
            <w:vAlign w:val="center"/>
          </w:tcPr>
          <w:p w14:paraId="767EED05" w14:textId="77777777" w:rsidR="00D05504" w:rsidRPr="004F743E" w:rsidRDefault="00004375" w:rsidP="009A2CAC">
            <w:pPr>
              <w:widowControl w:val="0"/>
              <w:pBdr>
                <w:top w:val="nil"/>
                <w:left w:val="nil"/>
                <w:bottom w:val="nil"/>
                <w:right w:val="nil"/>
                <w:between w:val="nil"/>
              </w:pBdr>
              <w:spacing w:beforeLines="60" w:before="144" w:afterLines="60" w:after="144" w:line="276" w:lineRule="auto"/>
              <w:jc w:val="center"/>
              <w:rPr>
                <w:rFonts w:ascii="Tahoma" w:eastAsia="Arial" w:hAnsi="Tahoma" w:cs="Tahoma"/>
                <w:color w:val="000000"/>
                <w:sz w:val="18"/>
                <w:szCs w:val="18"/>
              </w:rPr>
            </w:pPr>
            <w:r w:rsidRPr="004F743E">
              <w:rPr>
                <w:rFonts w:ascii="Tahoma" w:eastAsia="Arial" w:hAnsi="Tahoma" w:cs="Tahoma"/>
                <w:color w:val="000000"/>
                <w:sz w:val="18"/>
                <w:szCs w:val="18"/>
              </w:rPr>
              <w:t>Unidade</w:t>
            </w:r>
          </w:p>
        </w:tc>
        <w:tc>
          <w:tcPr>
            <w:tcW w:w="516" w:type="pct"/>
            <w:tcBorders>
              <w:top w:val="single" w:sz="4" w:space="0" w:color="000000"/>
              <w:left w:val="single" w:sz="4" w:space="0" w:color="000000"/>
              <w:bottom w:val="single" w:sz="4" w:space="0" w:color="000000"/>
              <w:right w:val="single" w:sz="4" w:space="0" w:color="000000"/>
            </w:tcBorders>
            <w:vAlign w:val="center"/>
          </w:tcPr>
          <w:p w14:paraId="7E57D079" w14:textId="77777777" w:rsidR="00D05504" w:rsidRPr="004F743E" w:rsidRDefault="00004375" w:rsidP="009A2CAC">
            <w:pPr>
              <w:widowControl w:val="0"/>
              <w:pBdr>
                <w:top w:val="nil"/>
                <w:left w:val="nil"/>
                <w:bottom w:val="nil"/>
                <w:right w:val="nil"/>
                <w:between w:val="nil"/>
              </w:pBdr>
              <w:spacing w:beforeLines="60" w:before="144" w:afterLines="60" w:after="144" w:line="276" w:lineRule="auto"/>
              <w:jc w:val="center"/>
              <w:rPr>
                <w:rFonts w:ascii="Tahoma" w:eastAsia="Arial" w:hAnsi="Tahoma" w:cs="Tahoma"/>
                <w:color w:val="000000"/>
                <w:sz w:val="18"/>
                <w:szCs w:val="18"/>
              </w:rPr>
            </w:pPr>
            <w:r w:rsidRPr="004F743E">
              <w:rPr>
                <w:rFonts w:ascii="Tahoma" w:eastAsia="Arial" w:hAnsi="Tahoma" w:cs="Tahoma"/>
                <w:color w:val="000000"/>
                <w:sz w:val="18"/>
                <w:szCs w:val="18"/>
              </w:rPr>
              <w:t>1</w:t>
            </w:r>
          </w:p>
        </w:tc>
        <w:tc>
          <w:tcPr>
            <w:tcW w:w="806" w:type="pct"/>
            <w:tcBorders>
              <w:top w:val="single" w:sz="4" w:space="0" w:color="000000"/>
              <w:left w:val="single" w:sz="4" w:space="0" w:color="000000"/>
              <w:bottom w:val="single" w:sz="4" w:space="0" w:color="000000"/>
              <w:right w:val="single" w:sz="4" w:space="0" w:color="000000"/>
            </w:tcBorders>
            <w:vAlign w:val="center"/>
          </w:tcPr>
          <w:p w14:paraId="09E5B54F" w14:textId="77777777" w:rsidR="00D05504" w:rsidRPr="004F743E" w:rsidRDefault="00004375" w:rsidP="004F743E">
            <w:pPr>
              <w:spacing w:beforeLines="60" w:before="144" w:afterLines="60" w:after="144" w:line="276" w:lineRule="auto"/>
              <w:jc w:val="both"/>
              <w:rPr>
                <w:rFonts w:ascii="Tahoma" w:eastAsia="Arial" w:hAnsi="Tahoma" w:cs="Tahoma"/>
                <w:sz w:val="18"/>
                <w:szCs w:val="18"/>
              </w:rPr>
            </w:pPr>
            <w:r w:rsidRPr="004F743E">
              <w:rPr>
                <w:rFonts w:ascii="Tahoma" w:eastAsia="Arial" w:hAnsi="Tahoma" w:cs="Tahoma"/>
                <w:sz w:val="18"/>
                <w:szCs w:val="18"/>
                <w:highlight w:val="white"/>
              </w:rPr>
              <w:t>R$ 5.565.248,50</w:t>
            </w:r>
          </w:p>
        </w:tc>
      </w:tr>
    </w:tbl>
    <w:p w14:paraId="00DCF359"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sz w:val="20"/>
          <w:szCs w:val="20"/>
        </w:rPr>
        <w:t xml:space="preserve">1.3 </w:t>
      </w:r>
      <w:r w:rsidRPr="004F743E">
        <w:rPr>
          <w:rFonts w:ascii="Tahoma" w:eastAsia="Arial" w:hAnsi="Tahoma" w:cs="Tahoma"/>
          <w:color w:val="000000"/>
          <w:sz w:val="20"/>
          <w:szCs w:val="20"/>
        </w:rPr>
        <w:t xml:space="preserve">O(s) serviço(s) objeto desta contratação são caracterizados como </w:t>
      </w:r>
      <w:r w:rsidRPr="004F743E">
        <w:rPr>
          <w:rFonts w:ascii="Tahoma" w:eastAsia="Arial" w:hAnsi="Tahoma" w:cs="Tahoma"/>
          <w:sz w:val="20"/>
          <w:szCs w:val="20"/>
        </w:rPr>
        <w:t>Obras e Serviços de Engenharia</w:t>
      </w:r>
      <w:r w:rsidRPr="004F743E">
        <w:rPr>
          <w:rFonts w:ascii="Tahoma" w:eastAsia="Arial" w:hAnsi="Tahoma" w:cs="Tahoma"/>
          <w:color w:val="000000"/>
          <w:sz w:val="20"/>
          <w:szCs w:val="20"/>
        </w:rPr>
        <w:t>, conforme justificativa constante do Estudo Técnico Preliminar.</w:t>
      </w:r>
    </w:p>
    <w:p w14:paraId="377050CF" w14:textId="5B4CAD5E"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sz w:val="20"/>
          <w:szCs w:val="20"/>
        </w:rPr>
        <w:t xml:space="preserve">1.4 </w:t>
      </w:r>
      <w:r w:rsidRPr="004F743E">
        <w:rPr>
          <w:rFonts w:ascii="Tahoma" w:eastAsia="Arial" w:hAnsi="Tahoma" w:cs="Tahoma"/>
          <w:color w:val="000000"/>
          <w:sz w:val="20"/>
          <w:szCs w:val="20"/>
        </w:rPr>
        <w:t xml:space="preserve">O prazo de vigência da contratação é de </w:t>
      </w:r>
      <w:r w:rsidRPr="004F743E">
        <w:rPr>
          <w:rFonts w:ascii="Tahoma" w:eastAsia="Arial" w:hAnsi="Tahoma" w:cs="Tahoma"/>
          <w:sz w:val="20"/>
          <w:szCs w:val="20"/>
        </w:rPr>
        <w:t>12</w:t>
      </w:r>
      <w:r w:rsidRPr="004F743E">
        <w:rPr>
          <w:rFonts w:ascii="Tahoma" w:eastAsia="Arial" w:hAnsi="Tahoma" w:cs="Tahoma"/>
          <w:color w:val="000000"/>
          <w:sz w:val="20"/>
          <w:szCs w:val="20"/>
        </w:rPr>
        <w:t xml:space="preserve"> meses contados da assinatura do contrato, na forma do artigo 105 da Lei n° 14.133, de 2021</w:t>
      </w:r>
      <w:r w:rsidR="000859B6" w:rsidRPr="004F743E">
        <w:rPr>
          <w:rFonts w:ascii="Tahoma" w:eastAsia="Arial" w:hAnsi="Tahoma" w:cs="Tahoma"/>
          <w:color w:val="000000"/>
          <w:sz w:val="20"/>
          <w:szCs w:val="20"/>
        </w:rPr>
        <w:t>.</w:t>
      </w:r>
    </w:p>
    <w:p w14:paraId="6AD8E6DF"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sz w:val="20"/>
          <w:szCs w:val="20"/>
        </w:rPr>
        <w:t xml:space="preserve">1.5 </w:t>
      </w:r>
      <w:r w:rsidRPr="004F743E">
        <w:rPr>
          <w:rFonts w:ascii="Tahoma" w:eastAsia="Arial" w:hAnsi="Tahoma" w:cs="Tahoma"/>
          <w:color w:val="000000"/>
          <w:sz w:val="20"/>
          <w:szCs w:val="20"/>
        </w:rPr>
        <w:t>O contrato oferece maior detalhamento das regras que serão aplicadas em relação à vigência da contratação.</w:t>
      </w:r>
    </w:p>
    <w:p w14:paraId="7AD55401" w14:textId="77777777" w:rsidR="00D05504"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b/>
          <w:color w:val="000000"/>
          <w:sz w:val="20"/>
          <w:szCs w:val="20"/>
        </w:rPr>
        <w:t xml:space="preserve">FUNDAMENTAÇÃO E DESCRIÇÃO DA NECESSIDADE DA CONTRATAÇÃO </w:t>
      </w:r>
    </w:p>
    <w:p w14:paraId="650499B4"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567"/>
        <w:jc w:val="both"/>
        <w:rPr>
          <w:rFonts w:ascii="Tahoma" w:eastAsia="Arial" w:hAnsi="Tahoma" w:cs="Tahoma"/>
          <w:color w:val="000000"/>
          <w:sz w:val="20"/>
          <w:szCs w:val="20"/>
        </w:rPr>
      </w:pPr>
      <w:r w:rsidRPr="004F743E">
        <w:rPr>
          <w:rFonts w:ascii="Tahoma" w:eastAsia="Arial" w:hAnsi="Tahoma" w:cs="Tahoma"/>
          <w:color w:val="000000"/>
          <w:sz w:val="20"/>
          <w:szCs w:val="20"/>
        </w:rPr>
        <w:t>A Fundamentação da Contratação e de seus quantitativos encontra-se pormenorizada em tópico específico dos Estudos Técnicos Preliminares, apêndice deste Termo de Referência.</w:t>
      </w:r>
    </w:p>
    <w:p w14:paraId="43BD3410" w14:textId="4A0BC804" w:rsidR="00D05504" w:rsidRPr="009A2CAC" w:rsidRDefault="00664022" w:rsidP="00BB4A97">
      <w:pPr>
        <w:numPr>
          <w:ilvl w:val="1"/>
          <w:numId w:val="14"/>
        </w:numPr>
        <w:pBdr>
          <w:top w:val="nil"/>
          <w:left w:val="nil"/>
          <w:bottom w:val="nil"/>
          <w:right w:val="nil"/>
          <w:between w:val="nil"/>
        </w:pBdr>
        <w:spacing w:beforeLines="80" w:before="192" w:afterLines="80" w:after="192" w:line="276" w:lineRule="auto"/>
        <w:ind w:left="567"/>
        <w:jc w:val="both"/>
        <w:rPr>
          <w:rFonts w:ascii="Tahoma" w:eastAsia="Arial" w:hAnsi="Tahoma" w:cs="Tahoma"/>
          <w:color w:val="000000"/>
          <w:sz w:val="20"/>
          <w:szCs w:val="20"/>
        </w:rPr>
      </w:pPr>
      <w:r w:rsidRPr="00664022">
        <w:rPr>
          <w:rFonts w:ascii="Tahoma" w:eastAsia="Arial" w:hAnsi="Tahoma" w:cs="Tahoma"/>
          <w:sz w:val="20"/>
          <w:szCs w:val="20"/>
        </w:rPr>
        <w:t>A presente contratação já se encontra prevista e registrada no Plano de Contratações Anual (PCA) do exercício de 2025, item 320</w:t>
      </w:r>
      <w:r w:rsidR="00004375" w:rsidRPr="004F743E">
        <w:rPr>
          <w:rFonts w:ascii="Tahoma" w:eastAsia="Arial" w:hAnsi="Tahoma" w:cs="Tahoma"/>
          <w:sz w:val="20"/>
          <w:szCs w:val="20"/>
        </w:rPr>
        <w:t>.</w:t>
      </w:r>
    </w:p>
    <w:p w14:paraId="4C832EBE" w14:textId="77777777" w:rsidR="00D05504"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b/>
          <w:color w:val="000000"/>
          <w:sz w:val="20"/>
          <w:szCs w:val="20"/>
        </w:rPr>
        <w:t xml:space="preserve">DESCRIÇÃO DA SOLUÇÃO COMO UM TODO CONSIDERADO O CICLO DE VIDA DO OBJETO </w:t>
      </w:r>
    </w:p>
    <w:p w14:paraId="576C0DD0" w14:textId="77777777" w:rsidR="00D05504" w:rsidRPr="004F743E" w:rsidRDefault="00004375" w:rsidP="00BB4A97">
      <w:pPr>
        <w:numPr>
          <w:ilvl w:val="1"/>
          <w:numId w:val="14"/>
        </w:numPr>
        <w:spacing w:beforeLines="80" w:before="192" w:afterLines="80" w:after="192" w:line="276" w:lineRule="auto"/>
        <w:ind w:left="708" w:hanging="425"/>
        <w:jc w:val="both"/>
        <w:rPr>
          <w:rFonts w:ascii="Tahoma" w:eastAsia="Arial" w:hAnsi="Tahoma" w:cs="Tahoma"/>
          <w:sz w:val="20"/>
          <w:szCs w:val="20"/>
        </w:rPr>
      </w:pPr>
      <w:r w:rsidRPr="004F743E">
        <w:rPr>
          <w:rFonts w:ascii="Tahoma" w:eastAsia="Arial" w:hAnsi="Tahoma" w:cs="Tahoma"/>
          <w:sz w:val="20"/>
          <w:szCs w:val="20"/>
        </w:rPr>
        <w:t>A contratação integrada permite a unificação das etapas de projeto e execução, promovendo maior eficiência, inovação técnica e redução de riscos de incompatibilidade entre fases do empreendimento.</w:t>
      </w:r>
    </w:p>
    <w:p w14:paraId="675AC3DF" w14:textId="61435F3C"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709"/>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 xml:space="preserve">A construção convencional não apenas atende aos requisitos técnicos e normativos exigidos para </w:t>
      </w:r>
      <w:r w:rsidRPr="004F743E">
        <w:rPr>
          <w:rFonts w:ascii="Tahoma" w:eastAsia="Arial" w:hAnsi="Tahoma" w:cs="Tahoma"/>
          <w:sz w:val="20"/>
          <w:szCs w:val="20"/>
        </w:rPr>
        <w:t>qualificação do Hospital Jorge Novis</w:t>
      </w:r>
      <w:r w:rsidRPr="004F743E">
        <w:rPr>
          <w:rFonts w:ascii="Tahoma" w:eastAsia="Arial" w:hAnsi="Tahoma" w:cs="Tahoma"/>
          <w:color w:val="000000"/>
          <w:sz w:val="20"/>
          <w:szCs w:val="20"/>
        </w:rPr>
        <w:t xml:space="preserve">, mas também garante a economicidade e a eficiência na utilização dos recursos públicos. A escolha desta metodologia foi baseada em uma análise criteriosa que levou em conta a variabilidade das condições regionais, o que é fundamental para assegurar que </w:t>
      </w:r>
      <w:r w:rsidR="0062446E" w:rsidRPr="004F743E">
        <w:rPr>
          <w:rFonts w:ascii="Tahoma" w:eastAsia="Arial" w:hAnsi="Tahoma" w:cs="Tahoma"/>
          <w:color w:val="000000"/>
          <w:sz w:val="20"/>
          <w:szCs w:val="20"/>
        </w:rPr>
        <w:t xml:space="preserve">obra </w:t>
      </w:r>
      <w:r w:rsidRPr="004F743E">
        <w:rPr>
          <w:rFonts w:ascii="Tahoma" w:eastAsia="Arial" w:hAnsi="Tahoma" w:cs="Tahoma"/>
          <w:sz w:val="20"/>
          <w:szCs w:val="20"/>
        </w:rPr>
        <w:t>o Hospital</w:t>
      </w:r>
      <w:r w:rsidRPr="004F743E">
        <w:rPr>
          <w:rFonts w:ascii="Tahoma" w:eastAsia="Arial" w:hAnsi="Tahoma" w:cs="Tahoma"/>
          <w:color w:val="000000"/>
          <w:sz w:val="20"/>
          <w:szCs w:val="20"/>
        </w:rPr>
        <w:t xml:space="preserve"> possa oferecer serviços de saúde com qualidade e segurança.</w:t>
      </w:r>
    </w:p>
    <w:p w14:paraId="20191DA7"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709"/>
        <w:jc w:val="both"/>
        <w:rPr>
          <w:rFonts w:ascii="Tahoma" w:eastAsia="Arial" w:hAnsi="Tahoma" w:cs="Tahoma"/>
          <w:color w:val="000000"/>
          <w:sz w:val="20"/>
          <w:szCs w:val="20"/>
        </w:rPr>
      </w:pPr>
      <w:r w:rsidRPr="004F743E">
        <w:rPr>
          <w:rFonts w:ascii="Tahoma" w:eastAsia="Arial" w:hAnsi="Tahoma" w:cs="Tahoma"/>
          <w:color w:val="000000"/>
          <w:sz w:val="20"/>
          <w:szCs w:val="20"/>
        </w:rPr>
        <w:t>A modalidade de licitação adotada, a Concorrência Eletrônica, foi selecionada por ser a mais adequada às características d</w:t>
      </w:r>
      <w:r w:rsidRPr="004F743E">
        <w:rPr>
          <w:rFonts w:ascii="Tahoma" w:eastAsia="Arial" w:hAnsi="Tahoma" w:cs="Tahoma"/>
          <w:sz w:val="20"/>
          <w:szCs w:val="20"/>
        </w:rPr>
        <w:t xml:space="preserve">o objeto, </w:t>
      </w:r>
      <w:r w:rsidRPr="004F743E">
        <w:rPr>
          <w:rFonts w:ascii="Tahoma" w:eastAsia="Arial" w:hAnsi="Tahoma" w:cs="Tahoma"/>
          <w:color w:val="000000"/>
          <w:sz w:val="20"/>
          <w:szCs w:val="20"/>
        </w:rPr>
        <w:t>considerando a sua complexidade técnica e os requisitos específicos d</w:t>
      </w:r>
      <w:r w:rsidRPr="004F743E">
        <w:rPr>
          <w:rFonts w:ascii="Tahoma" w:eastAsia="Arial" w:hAnsi="Tahoma" w:cs="Tahoma"/>
          <w:sz w:val="20"/>
          <w:szCs w:val="20"/>
        </w:rPr>
        <w:t>a obra em Unidade Hospitalar</w:t>
      </w:r>
      <w:r w:rsidRPr="004F743E">
        <w:rPr>
          <w:rFonts w:ascii="Tahoma" w:eastAsia="Arial" w:hAnsi="Tahoma" w:cs="Tahoma"/>
          <w:color w:val="000000"/>
          <w:sz w:val="20"/>
          <w:szCs w:val="20"/>
        </w:rPr>
        <w:t xml:space="preserve">. Este procedimento garante um processo competitivo e transparente, onde são avaliados não apenas os custos, mas também a capacidade técnica e a conformidade com as normas vigentes. </w:t>
      </w:r>
    </w:p>
    <w:p w14:paraId="7E9348C3"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709"/>
        <w:jc w:val="both"/>
        <w:rPr>
          <w:rFonts w:ascii="Tahoma" w:eastAsia="Arial" w:hAnsi="Tahoma" w:cs="Tahoma"/>
          <w:color w:val="000000"/>
          <w:sz w:val="20"/>
          <w:szCs w:val="20"/>
        </w:rPr>
      </w:pPr>
      <w:r w:rsidRPr="004F743E">
        <w:rPr>
          <w:rFonts w:ascii="Tahoma" w:eastAsia="Arial" w:hAnsi="Tahoma" w:cs="Tahoma"/>
          <w:color w:val="000000"/>
          <w:sz w:val="20"/>
          <w:szCs w:val="20"/>
        </w:rPr>
        <w:t>O regime de empreitada por preço unitário é definido na Nova Lei de Licitações como regime de contratação da execução da obra ou do serviço em que o preço é fixado por unidade determinada. A remuneração da contratada é estabelecida em função dos serviços efetivamente executados, de modo que os contratantes não assumem grandes riscos em relação às diferenças de estimativas de quantitativos.</w:t>
      </w:r>
    </w:p>
    <w:p w14:paraId="735B4A69"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709"/>
        <w:jc w:val="both"/>
        <w:rPr>
          <w:rFonts w:ascii="Tahoma" w:eastAsia="Arial" w:hAnsi="Tahoma" w:cs="Tahoma"/>
          <w:color w:val="000000"/>
          <w:sz w:val="20"/>
          <w:szCs w:val="20"/>
        </w:rPr>
      </w:pPr>
      <w:r w:rsidRPr="004F743E">
        <w:rPr>
          <w:rFonts w:ascii="Tahoma" w:eastAsia="Arial" w:hAnsi="Tahoma" w:cs="Tahoma"/>
          <w:color w:val="000000"/>
          <w:sz w:val="20"/>
          <w:szCs w:val="20"/>
        </w:rPr>
        <w:t>Tal regime é mais apropriado para os casos em que não se conhecem, de antemão, com alto nível de precisão, os quantitativos totais da obra ou serviço. A execução das unidades se dará de acordo com a necessidade observada, com a realização de medições periódicas para quantificar os serviços efetivamente executados.</w:t>
      </w:r>
    </w:p>
    <w:p w14:paraId="10429BCD"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709"/>
        <w:jc w:val="both"/>
        <w:rPr>
          <w:rFonts w:ascii="Tahoma" w:eastAsia="Arial" w:hAnsi="Tahoma" w:cs="Tahoma"/>
          <w:color w:val="000000"/>
          <w:sz w:val="20"/>
          <w:szCs w:val="20"/>
        </w:rPr>
      </w:pPr>
      <w:r w:rsidRPr="004F743E">
        <w:rPr>
          <w:rFonts w:ascii="Tahoma" w:eastAsia="Arial" w:hAnsi="Tahoma" w:cs="Tahoma"/>
          <w:color w:val="000000"/>
          <w:sz w:val="20"/>
          <w:szCs w:val="20"/>
        </w:rPr>
        <w:t>Havendo diferença entre os quantitativos inicialmente previstos nas planilhas orçamentárias e os quantitativos efetivamente necessários, a remuneração devida à contratada deverá ser ajustada (reduzida ou majorada) a fim de refletir os quantitativos reais.</w:t>
      </w:r>
    </w:p>
    <w:p w14:paraId="60AE9E55" w14:textId="1810F1C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709"/>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Esse regime deve ser adotado em face da imprecisão inerente à própria natureza do objeto, que está sujeito a variações, especialmente nos quantitativos, por fatores supervenientes ou não totalmente conhecidos na fase de planejamento. </w:t>
      </w:r>
    </w:p>
    <w:p w14:paraId="7F4A2499" w14:textId="7106DC3D" w:rsidR="004F743E"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color w:val="000000"/>
          <w:sz w:val="20"/>
          <w:szCs w:val="20"/>
        </w:rPr>
      </w:pPr>
      <w:bookmarkStart w:id="2" w:name="_heading=h.659zfzs2g2gg" w:colFirst="0" w:colLast="0"/>
      <w:bookmarkEnd w:id="2"/>
      <w:r w:rsidRPr="004F743E">
        <w:rPr>
          <w:rFonts w:ascii="Tahoma" w:eastAsia="Arial" w:hAnsi="Tahoma" w:cs="Tahoma"/>
          <w:b/>
          <w:color w:val="000000"/>
          <w:sz w:val="20"/>
          <w:szCs w:val="20"/>
        </w:rPr>
        <w:t xml:space="preserve">REQUISITOS DA CONTRATAÇÃO </w:t>
      </w:r>
    </w:p>
    <w:p w14:paraId="02DE8C99"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4.1 Além dos critérios de sustentabilidade eventualmente inseridos na descrição do objeto devem ser atendidos os seguintes requisitos, que se baseiam no Guia Nacional de Contratações Sustentáveis:</w:t>
      </w:r>
    </w:p>
    <w:p w14:paraId="2EC46A7A" w14:textId="77777777" w:rsidR="00D05504" w:rsidRPr="004F743E" w:rsidRDefault="00004375" w:rsidP="00BB4A97">
      <w:pPr>
        <w:numPr>
          <w:ilvl w:val="0"/>
          <w:numId w:val="7"/>
        </w:numPr>
        <w:pBdr>
          <w:top w:val="nil"/>
          <w:left w:val="nil"/>
          <w:bottom w:val="nil"/>
          <w:right w:val="nil"/>
          <w:between w:val="nil"/>
        </w:pBdr>
        <w:tabs>
          <w:tab w:val="left" w:pos="993"/>
        </w:tabs>
        <w:spacing w:beforeLines="80" w:before="192" w:afterLines="80" w:after="192" w:line="276" w:lineRule="auto"/>
        <w:ind w:left="709" w:firstLine="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Adesão ao Guia Nacional de Contratações Sustentáveis; </w:t>
      </w:r>
    </w:p>
    <w:p w14:paraId="40359A32" w14:textId="77777777" w:rsidR="00D05504" w:rsidRPr="004F743E" w:rsidRDefault="00004375" w:rsidP="00BB4A97">
      <w:pPr>
        <w:numPr>
          <w:ilvl w:val="0"/>
          <w:numId w:val="7"/>
        </w:numPr>
        <w:pBdr>
          <w:top w:val="nil"/>
          <w:left w:val="nil"/>
          <w:bottom w:val="nil"/>
          <w:right w:val="nil"/>
          <w:between w:val="nil"/>
        </w:pBdr>
        <w:tabs>
          <w:tab w:val="left" w:pos="993"/>
        </w:tabs>
        <w:spacing w:beforeLines="80" w:before="192" w:afterLines="80" w:after="192" w:line="276" w:lineRule="auto"/>
        <w:ind w:left="709" w:firstLine="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Alinhamento com o Plano de Gestão e Logística Sustentável do órgão; </w:t>
      </w:r>
    </w:p>
    <w:p w14:paraId="636952C5" w14:textId="77777777" w:rsidR="00D05504" w:rsidRPr="004F743E" w:rsidRDefault="00004375" w:rsidP="00BB4A97">
      <w:pPr>
        <w:numPr>
          <w:ilvl w:val="0"/>
          <w:numId w:val="7"/>
        </w:numPr>
        <w:pBdr>
          <w:top w:val="nil"/>
          <w:left w:val="nil"/>
          <w:bottom w:val="nil"/>
          <w:right w:val="nil"/>
          <w:between w:val="nil"/>
        </w:pBdr>
        <w:tabs>
          <w:tab w:val="left" w:pos="993"/>
        </w:tabs>
        <w:spacing w:beforeLines="80" w:before="192" w:afterLines="80" w:after="192" w:line="276" w:lineRule="auto"/>
        <w:ind w:left="709" w:firstLine="0"/>
        <w:jc w:val="both"/>
        <w:rPr>
          <w:rFonts w:ascii="Tahoma" w:eastAsia="Arial" w:hAnsi="Tahoma" w:cs="Tahoma"/>
          <w:color w:val="000000"/>
          <w:sz w:val="20"/>
          <w:szCs w:val="20"/>
        </w:rPr>
      </w:pPr>
      <w:r w:rsidRPr="004F743E">
        <w:rPr>
          <w:rFonts w:ascii="Tahoma" w:eastAsia="Arial" w:hAnsi="Tahoma" w:cs="Tahoma"/>
          <w:color w:val="000000"/>
          <w:sz w:val="20"/>
          <w:szCs w:val="20"/>
        </w:rPr>
        <w:t>Incorporação das dimensões ambientais, sociais, econômicas e culturais;</w:t>
      </w:r>
    </w:p>
    <w:p w14:paraId="5A992AE7" w14:textId="77777777" w:rsidR="00D05504" w:rsidRPr="004F743E" w:rsidRDefault="00004375" w:rsidP="00BB4A97">
      <w:pPr>
        <w:numPr>
          <w:ilvl w:val="0"/>
          <w:numId w:val="7"/>
        </w:numPr>
        <w:pBdr>
          <w:top w:val="nil"/>
          <w:left w:val="nil"/>
          <w:bottom w:val="nil"/>
          <w:right w:val="nil"/>
          <w:between w:val="nil"/>
        </w:pBdr>
        <w:tabs>
          <w:tab w:val="left" w:pos="993"/>
        </w:tabs>
        <w:spacing w:beforeLines="80" w:before="192" w:afterLines="80" w:after="192" w:line="276" w:lineRule="auto"/>
        <w:ind w:left="709" w:firstLine="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Incorporação das dimensões ambientais, sociais, econômicas e culturais; </w:t>
      </w:r>
    </w:p>
    <w:p w14:paraId="410FC9DE" w14:textId="77777777" w:rsidR="00D05504" w:rsidRPr="004F743E" w:rsidRDefault="00004375" w:rsidP="00BB4A97">
      <w:pPr>
        <w:numPr>
          <w:ilvl w:val="0"/>
          <w:numId w:val="7"/>
        </w:numPr>
        <w:pBdr>
          <w:top w:val="nil"/>
          <w:left w:val="nil"/>
          <w:bottom w:val="nil"/>
          <w:right w:val="nil"/>
          <w:between w:val="nil"/>
        </w:pBdr>
        <w:tabs>
          <w:tab w:val="left" w:pos="993"/>
        </w:tabs>
        <w:spacing w:beforeLines="80" w:before="192" w:afterLines="80" w:after="192" w:line="276" w:lineRule="auto"/>
        <w:ind w:left="709" w:firstLine="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Alinhamento com a Política Nacional de Meio Ambiente (Lei n.º 6938/1981); </w:t>
      </w:r>
    </w:p>
    <w:p w14:paraId="15C01D59" w14:textId="77777777" w:rsidR="00D05504" w:rsidRPr="004F743E" w:rsidRDefault="00004375" w:rsidP="00BB4A97">
      <w:pPr>
        <w:numPr>
          <w:ilvl w:val="0"/>
          <w:numId w:val="7"/>
        </w:numPr>
        <w:pBdr>
          <w:top w:val="nil"/>
          <w:left w:val="nil"/>
          <w:bottom w:val="nil"/>
          <w:right w:val="nil"/>
          <w:between w:val="nil"/>
        </w:pBdr>
        <w:tabs>
          <w:tab w:val="left" w:pos="993"/>
        </w:tabs>
        <w:spacing w:beforeLines="80" w:before="192" w:afterLines="80" w:after="192" w:line="276" w:lineRule="auto"/>
        <w:ind w:left="709" w:firstLine="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Alinhamento com a Política Nacional sobre Mudança do Clima (Lei n.º 12.187/2009); </w:t>
      </w:r>
    </w:p>
    <w:p w14:paraId="06328EB1" w14:textId="77777777" w:rsidR="00D05504" w:rsidRPr="004F743E" w:rsidRDefault="00004375" w:rsidP="00BB4A97">
      <w:pPr>
        <w:numPr>
          <w:ilvl w:val="0"/>
          <w:numId w:val="7"/>
        </w:numPr>
        <w:pBdr>
          <w:top w:val="nil"/>
          <w:left w:val="nil"/>
          <w:bottom w:val="nil"/>
          <w:right w:val="nil"/>
          <w:between w:val="nil"/>
        </w:pBdr>
        <w:tabs>
          <w:tab w:val="left" w:pos="993"/>
        </w:tabs>
        <w:spacing w:beforeLines="80" w:before="192" w:afterLines="80" w:after="192" w:line="276" w:lineRule="auto"/>
        <w:ind w:left="709" w:firstLine="0"/>
        <w:jc w:val="both"/>
        <w:rPr>
          <w:rFonts w:ascii="Tahoma" w:eastAsia="Arial" w:hAnsi="Tahoma" w:cs="Tahoma"/>
          <w:color w:val="000000"/>
          <w:sz w:val="20"/>
          <w:szCs w:val="20"/>
        </w:rPr>
      </w:pPr>
      <w:r w:rsidRPr="004F743E">
        <w:rPr>
          <w:rFonts w:ascii="Tahoma" w:eastAsia="Arial" w:hAnsi="Tahoma" w:cs="Tahoma"/>
          <w:color w:val="000000"/>
          <w:sz w:val="20"/>
          <w:szCs w:val="20"/>
        </w:rPr>
        <w:t>Alinhamento com a Política Nacional de Resíduos Sólidos (Lei n.º 12.305/2010);</w:t>
      </w:r>
    </w:p>
    <w:p w14:paraId="5C98C7FC" w14:textId="77777777" w:rsidR="00D05504" w:rsidRPr="004F743E" w:rsidRDefault="00004375" w:rsidP="00BB4A97">
      <w:pPr>
        <w:numPr>
          <w:ilvl w:val="2"/>
          <w:numId w:val="8"/>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Deverão ser observadas ainda as seguintes especificações Técnicas de Sustentabilidade:</w:t>
      </w:r>
    </w:p>
    <w:p w14:paraId="6C3CE46A" w14:textId="77777777" w:rsidR="00D05504" w:rsidRPr="004F743E" w:rsidRDefault="00004375" w:rsidP="00BB4A97">
      <w:pPr>
        <w:numPr>
          <w:ilvl w:val="0"/>
          <w:numId w:val="9"/>
        </w:numPr>
        <w:pBdr>
          <w:top w:val="nil"/>
          <w:left w:val="nil"/>
          <w:bottom w:val="nil"/>
          <w:right w:val="nil"/>
          <w:between w:val="nil"/>
        </w:pBdr>
        <w:tabs>
          <w:tab w:val="left" w:pos="993"/>
        </w:tabs>
        <w:spacing w:beforeLines="80" w:before="192" w:afterLines="80" w:after="192" w:line="276" w:lineRule="auto"/>
        <w:ind w:hanging="10"/>
        <w:jc w:val="both"/>
        <w:rPr>
          <w:rFonts w:ascii="Tahoma" w:eastAsia="Arial" w:hAnsi="Tahoma" w:cs="Tahoma"/>
          <w:color w:val="000000"/>
          <w:sz w:val="20"/>
          <w:szCs w:val="20"/>
        </w:rPr>
      </w:pPr>
      <w:r w:rsidRPr="004F743E">
        <w:rPr>
          <w:rFonts w:ascii="Tahoma" w:eastAsia="Arial" w:hAnsi="Tahoma" w:cs="Tahoma"/>
          <w:color w:val="000000"/>
          <w:sz w:val="20"/>
          <w:szCs w:val="20"/>
        </w:rPr>
        <w:t>Ventilação e Iluminação natural:</w:t>
      </w:r>
    </w:p>
    <w:p w14:paraId="7713967D" w14:textId="77777777" w:rsidR="00D05504" w:rsidRPr="004F743E" w:rsidRDefault="00004375" w:rsidP="00BB4A97">
      <w:pPr>
        <w:numPr>
          <w:ilvl w:val="1"/>
          <w:numId w:val="9"/>
        </w:numPr>
        <w:pBdr>
          <w:top w:val="nil"/>
          <w:left w:val="nil"/>
          <w:bottom w:val="nil"/>
          <w:right w:val="nil"/>
          <w:between w:val="nil"/>
        </w:pBdr>
        <w:tabs>
          <w:tab w:val="left" w:pos="993"/>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 xml:space="preserve">Design que maximiza luz natural; </w:t>
      </w:r>
    </w:p>
    <w:p w14:paraId="45812D79" w14:textId="77777777" w:rsidR="00D05504" w:rsidRPr="004F743E" w:rsidRDefault="00004375" w:rsidP="00BB4A97">
      <w:pPr>
        <w:numPr>
          <w:ilvl w:val="0"/>
          <w:numId w:val="9"/>
        </w:numPr>
        <w:pBdr>
          <w:top w:val="nil"/>
          <w:left w:val="nil"/>
          <w:bottom w:val="nil"/>
          <w:right w:val="nil"/>
          <w:between w:val="nil"/>
        </w:pBdr>
        <w:tabs>
          <w:tab w:val="left" w:pos="993"/>
        </w:tabs>
        <w:spacing w:beforeLines="80" w:before="192" w:afterLines="80" w:after="192" w:line="276" w:lineRule="auto"/>
        <w:ind w:hanging="10"/>
        <w:jc w:val="both"/>
        <w:rPr>
          <w:rFonts w:ascii="Tahoma" w:eastAsia="Arial" w:hAnsi="Tahoma" w:cs="Tahoma"/>
          <w:color w:val="000000"/>
          <w:sz w:val="20"/>
          <w:szCs w:val="20"/>
        </w:rPr>
      </w:pPr>
      <w:r w:rsidRPr="004F743E">
        <w:rPr>
          <w:rFonts w:ascii="Tahoma" w:eastAsia="Arial" w:hAnsi="Tahoma" w:cs="Tahoma"/>
          <w:color w:val="000000"/>
          <w:sz w:val="20"/>
          <w:szCs w:val="20"/>
        </w:rPr>
        <w:t>Promoção de ventilação adequada para reduzir uso de sistemas artificiais;</w:t>
      </w:r>
    </w:p>
    <w:p w14:paraId="07BA62BD" w14:textId="77777777" w:rsidR="00D05504" w:rsidRPr="004F743E" w:rsidRDefault="00004375" w:rsidP="00BB4A97">
      <w:pPr>
        <w:numPr>
          <w:ilvl w:val="1"/>
          <w:numId w:val="9"/>
        </w:numPr>
        <w:pBdr>
          <w:top w:val="nil"/>
          <w:left w:val="nil"/>
          <w:bottom w:val="nil"/>
          <w:right w:val="nil"/>
          <w:between w:val="nil"/>
        </w:pBdr>
        <w:tabs>
          <w:tab w:val="left" w:pos="993"/>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Uso Racional da Água:</w:t>
      </w:r>
    </w:p>
    <w:p w14:paraId="146A8FBB" w14:textId="77777777" w:rsidR="00D05504" w:rsidRPr="004F743E" w:rsidRDefault="00004375" w:rsidP="00BB4A97">
      <w:pPr>
        <w:numPr>
          <w:ilvl w:val="0"/>
          <w:numId w:val="9"/>
        </w:numPr>
        <w:pBdr>
          <w:top w:val="nil"/>
          <w:left w:val="nil"/>
          <w:bottom w:val="nil"/>
          <w:right w:val="nil"/>
          <w:between w:val="nil"/>
        </w:pBdr>
        <w:tabs>
          <w:tab w:val="left" w:pos="993"/>
        </w:tabs>
        <w:spacing w:beforeLines="80" w:before="192" w:afterLines="80" w:after="192" w:line="276" w:lineRule="auto"/>
        <w:ind w:hanging="1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Implementação de sistemas de reuso de água cinza; </w:t>
      </w:r>
    </w:p>
    <w:p w14:paraId="5718ACB5" w14:textId="77777777" w:rsidR="00D05504" w:rsidRPr="004F743E" w:rsidRDefault="00004375" w:rsidP="00BB4A97">
      <w:pPr>
        <w:numPr>
          <w:ilvl w:val="1"/>
          <w:numId w:val="9"/>
        </w:numPr>
        <w:pBdr>
          <w:top w:val="nil"/>
          <w:left w:val="nil"/>
          <w:bottom w:val="nil"/>
          <w:right w:val="nil"/>
          <w:between w:val="nil"/>
        </w:pBdr>
        <w:tabs>
          <w:tab w:val="left" w:pos="993"/>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Sistemas de captação de água de chuva;</w:t>
      </w:r>
    </w:p>
    <w:p w14:paraId="57EE17E0" w14:textId="77777777" w:rsidR="00D05504" w:rsidRPr="004F743E" w:rsidRDefault="00004375" w:rsidP="00BB4A97">
      <w:pPr>
        <w:numPr>
          <w:ilvl w:val="0"/>
          <w:numId w:val="9"/>
        </w:numPr>
        <w:pBdr>
          <w:top w:val="nil"/>
          <w:left w:val="nil"/>
          <w:bottom w:val="nil"/>
          <w:right w:val="nil"/>
          <w:between w:val="nil"/>
        </w:pBdr>
        <w:tabs>
          <w:tab w:val="left" w:pos="993"/>
        </w:tabs>
        <w:spacing w:beforeLines="80" w:before="192" w:afterLines="80" w:after="192" w:line="276" w:lineRule="auto"/>
        <w:ind w:hanging="10"/>
        <w:jc w:val="both"/>
        <w:rPr>
          <w:rFonts w:ascii="Tahoma" w:eastAsia="Arial" w:hAnsi="Tahoma" w:cs="Tahoma"/>
          <w:color w:val="000000"/>
          <w:sz w:val="20"/>
          <w:szCs w:val="20"/>
        </w:rPr>
      </w:pPr>
      <w:r w:rsidRPr="004F743E">
        <w:rPr>
          <w:rFonts w:ascii="Tahoma" w:eastAsia="Arial" w:hAnsi="Tahoma" w:cs="Tahoma"/>
          <w:color w:val="000000"/>
          <w:sz w:val="20"/>
          <w:szCs w:val="20"/>
        </w:rPr>
        <w:t>Energia Solar:</w:t>
      </w:r>
    </w:p>
    <w:p w14:paraId="6416E276" w14:textId="77777777" w:rsidR="00D05504" w:rsidRPr="004F743E" w:rsidRDefault="00004375" w:rsidP="00BB4A97">
      <w:pPr>
        <w:numPr>
          <w:ilvl w:val="1"/>
          <w:numId w:val="9"/>
        </w:numPr>
        <w:pBdr>
          <w:top w:val="nil"/>
          <w:left w:val="nil"/>
          <w:bottom w:val="nil"/>
          <w:right w:val="nil"/>
          <w:between w:val="nil"/>
        </w:pBdr>
        <w:tabs>
          <w:tab w:val="left" w:pos="993"/>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Instalação de painéis fotovoltaicos em locais estratégicos; </w:t>
      </w:r>
    </w:p>
    <w:p w14:paraId="5CFAACE5" w14:textId="77777777" w:rsidR="00D05504" w:rsidRPr="004F743E" w:rsidRDefault="00004375" w:rsidP="00BB4A97">
      <w:pPr>
        <w:numPr>
          <w:ilvl w:val="0"/>
          <w:numId w:val="9"/>
        </w:numPr>
        <w:pBdr>
          <w:top w:val="nil"/>
          <w:left w:val="nil"/>
          <w:bottom w:val="nil"/>
          <w:right w:val="nil"/>
          <w:between w:val="nil"/>
        </w:pBdr>
        <w:tabs>
          <w:tab w:val="left" w:pos="993"/>
        </w:tabs>
        <w:spacing w:beforeLines="80" w:before="192" w:afterLines="80" w:after="192" w:line="276" w:lineRule="auto"/>
        <w:ind w:hanging="10"/>
        <w:jc w:val="both"/>
        <w:rPr>
          <w:rFonts w:ascii="Tahoma" w:eastAsia="Arial" w:hAnsi="Tahoma" w:cs="Tahoma"/>
          <w:color w:val="000000"/>
          <w:sz w:val="20"/>
          <w:szCs w:val="20"/>
        </w:rPr>
      </w:pPr>
      <w:r w:rsidRPr="004F743E">
        <w:rPr>
          <w:rFonts w:ascii="Tahoma" w:eastAsia="Arial" w:hAnsi="Tahoma" w:cs="Tahoma"/>
          <w:color w:val="000000"/>
          <w:sz w:val="20"/>
          <w:szCs w:val="20"/>
        </w:rPr>
        <w:t>Materiais de Baixo Impacto Ambiental:</w:t>
      </w:r>
    </w:p>
    <w:p w14:paraId="17C7B9D7" w14:textId="77777777" w:rsidR="00D05504" w:rsidRPr="004F743E" w:rsidRDefault="00004375" w:rsidP="00BB4A97">
      <w:pPr>
        <w:numPr>
          <w:ilvl w:val="1"/>
          <w:numId w:val="9"/>
        </w:numPr>
        <w:pBdr>
          <w:top w:val="nil"/>
          <w:left w:val="nil"/>
          <w:bottom w:val="nil"/>
          <w:right w:val="nil"/>
          <w:between w:val="nil"/>
        </w:pBdr>
        <w:tabs>
          <w:tab w:val="left" w:pos="993"/>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Seleção de materiais sustentáveis certificados; </w:t>
      </w:r>
    </w:p>
    <w:p w14:paraId="64312F1E" w14:textId="77777777" w:rsidR="00D05504" w:rsidRPr="004F743E" w:rsidRDefault="00004375" w:rsidP="00BB4A97">
      <w:pPr>
        <w:numPr>
          <w:ilvl w:val="0"/>
          <w:numId w:val="9"/>
        </w:numPr>
        <w:pBdr>
          <w:top w:val="nil"/>
          <w:left w:val="nil"/>
          <w:bottom w:val="nil"/>
          <w:right w:val="nil"/>
          <w:between w:val="nil"/>
        </w:pBdr>
        <w:tabs>
          <w:tab w:val="left" w:pos="993"/>
        </w:tabs>
        <w:spacing w:beforeLines="80" w:before="192" w:afterLines="80" w:after="192" w:line="276" w:lineRule="auto"/>
        <w:ind w:hanging="10"/>
        <w:jc w:val="both"/>
        <w:rPr>
          <w:rFonts w:ascii="Tahoma" w:eastAsia="Arial" w:hAnsi="Tahoma" w:cs="Tahoma"/>
          <w:color w:val="000000"/>
          <w:sz w:val="20"/>
          <w:szCs w:val="20"/>
        </w:rPr>
      </w:pPr>
      <w:r w:rsidRPr="004F743E">
        <w:rPr>
          <w:rFonts w:ascii="Tahoma" w:eastAsia="Arial" w:hAnsi="Tahoma" w:cs="Tahoma"/>
          <w:color w:val="000000"/>
          <w:sz w:val="20"/>
          <w:szCs w:val="20"/>
        </w:rPr>
        <w:t>Gerenciamento de Resíduos:</w:t>
      </w:r>
    </w:p>
    <w:p w14:paraId="4DE96CB6" w14:textId="77777777" w:rsidR="00D05504" w:rsidRPr="004F743E" w:rsidRDefault="00004375" w:rsidP="00BB4A97">
      <w:pPr>
        <w:numPr>
          <w:ilvl w:val="1"/>
          <w:numId w:val="9"/>
        </w:numPr>
        <w:pBdr>
          <w:top w:val="nil"/>
          <w:left w:val="nil"/>
          <w:bottom w:val="nil"/>
          <w:right w:val="nil"/>
          <w:between w:val="nil"/>
        </w:pBdr>
        <w:tabs>
          <w:tab w:val="left" w:pos="993"/>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Planos para redução, reutilização e reciclagem de resíduos de construção; </w:t>
      </w:r>
    </w:p>
    <w:p w14:paraId="0EFC61A7" w14:textId="77777777" w:rsidR="00D05504" w:rsidRPr="004F743E" w:rsidRDefault="00004375" w:rsidP="00BB4A97">
      <w:pPr>
        <w:numPr>
          <w:ilvl w:val="0"/>
          <w:numId w:val="9"/>
        </w:numPr>
        <w:pBdr>
          <w:top w:val="nil"/>
          <w:left w:val="nil"/>
          <w:bottom w:val="nil"/>
          <w:right w:val="nil"/>
          <w:between w:val="nil"/>
        </w:pBdr>
        <w:tabs>
          <w:tab w:val="left" w:pos="993"/>
        </w:tabs>
        <w:spacing w:beforeLines="80" w:before="192" w:afterLines="80" w:after="192" w:line="276" w:lineRule="auto"/>
        <w:ind w:hanging="1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Redução da Poluição: </w:t>
      </w:r>
    </w:p>
    <w:p w14:paraId="033B0DDA" w14:textId="77777777" w:rsidR="00D05504" w:rsidRPr="004F743E" w:rsidRDefault="00004375" w:rsidP="00BB4A97">
      <w:pPr>
        <w:numPr>
          <w:ilvl w:val="1"/>
          <w:numId w:val="9"/>
        </w:numPr>
        <w:pBdr>
          <w:top w:val="nil"/>
          <w:left w:val="nil"/>
          <w:bottom w:val="nil"/>
          <w:right w:val="nil"/>
          <w:between w:val="nil"/>
        </w:pBdr>
        <w:tabs>
          <w:tab w:val="left" w:pos="993"/>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Práticas para minimizar poluição durante construção e operação; </w:t>
      </w:r>
    </w:p>
    <w:p w14:paraId="0B8F10EE" w14:textId="77777777" w:rsidR="00D05504" w:rsidRPr="004F743E" w:rsidRDefault="00004375" w:rsidP="00BB4A97">
      <w:pPr>
        <w:numPr>
          <w:ilvl w:val="0"/>
          <w:numId w:val="9"/>
        </w:numPr>
        <w:pBdr>
          <w:top w:val="nil"/>
          <w:left w:val="nil"/>
          <w:bottom w:val="nil"/>
          <w:right w:val="nil"/>
          <w:between w:val="nil"/>
        </w:pBdr>
        <w:tabs>
          <w:tab w:val="left" w:pos="993"/>
        </w:tabs>
        <w:spacing w:beforeLines="80" w:before="192" w:afterLines="80" w:after="192" w:line="276" w:lineRule="auto"/>
        <w:ind w:hanging="10"/>
        <w:jc w:val="both"/>
        <w:rPr>
          <w:rFonts w:ascii="Tahoma" w:eastAsia="Arial" w:hAnsi="Tahoma" w:cs="Tahoma"/>
          <w:color w:val="000000"/>
          <w:sz w:val="20"/>
          <w:szCs w:val="20"/>
        </w:rPr>
      </w:pPr>
      <w:r w:rsidRPr="004F743E">
        <w:rPr>
          <w:rFonts w:ascii="Tahoma" w:eastAsia="Arial" w:hAnsi="Tahoma" w:cs="Tahoma"/>
          <w:color w:val="000000"/>
          <w:sz w:val="20"/>
          <w:szCs w:val="20"/>
        </w:rPr>
        <w:t>Biodiversidade:</w:t>
      </w:r>
    </w:p>
    <w:p w14:paraId="0A893ECD" w14:textId="77777777" w:rsidR="00D05504" w:rsidRPr="004F743E" w:rsidRDefault="00004375" w:rsidP="00BB4A97">
      <w:pPr>
        <w:numPr>
          <w:ilvl w:val="1"/>
          <w:numId w:val="9"/>
        </w:numPr>
        <w:pBdr>
          <w:top w:val="nil"/>
          <w:left w:val="nil"/>
          <w:bottom w:val="nil"/>
          <w:right w:val="nil"/>
          <w:between w:val="nil"/>
        </w:pBdr>
        <w:tabs>
          <w:tab w:val="left" w:pos="993"/>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Proteção e promoção </w:t>
      </w:r>
      <w:r w:rsidRPr="004F743E">
        <w:rPr>
          <w:rFonts w:ascii="Tahoma" w:eastAsia="Arial" w:hAnsi="Tahoma" w:cs="Tahoma"/>
          <w:sz w:val="20"/>
          <w:szCs w:val="20"/>
        </w:rPr>
        <w:t>da biodiversidade</w:t>
      </w:r>
      <w:r w:rsidRPr="004F743E">
        <w:rPr>
          <w:rFonts w:ascii="Tahoma" w:eastAsia="Arial" w:hAnsi="Tahoma" w:cs="Tahoma"/>
          <w:color w:val="000000"/>
          <w:sz w:val="20"/>
          <w:szCs w:val="20"/>
        </w:rPr>
        <w:t xml:space="preserve"> no local da obra.</w:t>
      </w:r>
    </w:p>
    <w:p w14:paraId="47D8FC06" w14:textId="77777777" w:rsidR="00D05504" w:rsidRPr="004F743E" w:rsidRDefault="00004375" w:rsidP="00BB4A97">
      <w:pPr>
        <w:pBdr>
          <w:top w:val="nil"/>
          <w:left w:val="nil"/>
          <w:bottom w:val="nil"/>
          <w:right w:val="nil"/>
          <w:between w:val="nil"/>
        </w:pBdr>
        <w:spacing w:beforeLines="80" w:before="192" w:afterLines="80" w:after="192" w:line="276" w:lineRule="auto"/>
        <w:ind w:left="567" w:hanging="504"/>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4.2  Indicação de marcas ou modelos (Inciso I do art. 41 da lei nº 14.133, de 2021) </w:t>
      </w:r>
    </w:p>
    <w:p w14:paraId="6A494E1D"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4.2.1 Na presente contratação não será necessária a indicação de nenhuma (s) marca(s), característica(s) ou modelo(s), de acordo com as justificativas contidas nos Estudos Técnicos Preliminares.</w:t>
      </w:r>
    </w:p>
    <w:p w14:paraId="46EF82BD" w14:textId="77777777" w:rsidR="00D05504" w:rsidRPr="004F743E" w:rsidRDefault="00004375" w:rsidP="00BB4A97">
      <w:pPr>
        <w:keepNext/>
        <w:keepLines/>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4.3 Da vedação de utilização de marca/produto na execução do serviço (Inciso III do art. 41 da lei nº 14.133, de 2021)</w:t>
      </w:r>
    </w:p>
    <w:p w14:paraId="6D77655F" w14:textId="32AC5525" w:rsidR="00D05504" w:rsidRPr="004F743E" w:rsidRDefault="00004375" w:rsidP="00BB4A97">
      <w:pPr>
        <w:numPr>
          <w:ilvl w:val="2"/>
          <w:numId w:val="12"/>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Na presente contratação, a Administração não possui nenhum processo administrativo que prevê a possibilidade de vedar o fornecimento de </w:t>
      </w:r>
      <w:r w:rsidR="004F743E" w:rsidRPr="004F743E">
        <w:rPr>
          <w:rFonts w:ascii="Tahoma" w:eastAsia="Arial" w:hAnsi="Tahoma" w:cs="Tahoma"/>
          <w:color w:val="000000"/>
          <w:sz w:val="20"/>
          <w:szCs w:val="20"/>
        </w:rPr>
        <w:t>alguns produtos/marcas</w:t>
      </w:r>
      <w:r w:rsidRPr="004F743E">
        <w:rPr>
          <w:rFonts w:ascii="Tahoma" w:eastAsia="Arial" w:hAnsi="Tahoma" w:cs="Tahoma"/>
          <w:color w:val="000000"/>
          <w:sz w:val="20"/>
          <w:szCs w:val="20"/>
        </w:rPr>
        <w:t>.</w:t>
      </w:r>
    </w:p>
    <w:p w14:paraId="72A05316" w14:textId="77777777" w:rsidR="00D05504"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b/>
          <w:color w:val="000000"/>
          <w:sz w:val="20"/>
          <w:szCs w:val="20"/>
        </w:rPr>
        <w:t>Subcontratação</w:t>
      </w:r>
    </w:p>
    <w:p w14:paraId="0BA068EF"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bookmarkStart w:id="3" w:name="_heading=h.3frgxt8trqe5" w:colFirst="0" w:colLast="0"/>
      <w:bookmarkEnd w:id="3"/>
      <w:r w:rsidRPr="004F743E">
        <w:rPr>
          <w:rFonts w:ascii="Tahoma" w:eastAsia="Arial" w:hAnsi="Tahoma" w:cs="Tahoma"/>
          <w:color w:val="000000"/>
          <w:sz w:val="20"/>
          <w:szCs w:val="20"/>
        </w:rPr>
        <w:t xml:space="preserve">É admitida a subcontratação parcial do objeto, nas seguintes condições: </w:t>
      </w:r>
    </w:p>
    <w:p w14:paraId="23E648B5" w14:textId="77777777" w:rsidR="00D05504" w:rsidRPr="004F743E" w:rsidRDefault="00004375" w:rsidP="00BB4A97">
      <w:pPr>
        <w:numPr>
          <w:ilvl w:val="2"/>
          <w:numId w:val="1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Subcontratação parcial: Admitida até o limite de 25% do valor total do contrato, excluindo-se as partes principais e de maior relevância.</w:t>
      </w:r>
    </w:p>
    <w:p w14:paraId="547FFDDA" w14:textId="77777777" w:rsidR="00D05504" w:rsidRPr="004F743E" w:rsidRDefault="00004375" w:rsidP="00BB4A97">
      <w:pPr>
        <w:numPr>
          <w:ilvl w:val="2"/>
          <w:numId w:val="1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O contratado não pode transferir à subcontratada a atividade principal do contrato, sendo que</w:t>
      </w:r>
      <w:r w:rsidRPr="004F743E">
        <w:rPr>
          <w:rFonts w:ascii="Tahoma" w:eastAsia="Arial" w:hAnsi="Tahoma" w:cs="Tahoma"/>
          <w:b/>
          <w:color w:val="000000"/>
          <w:sz w:val="20"/>
          <w:szCs w:val="20"/>
        </w:rPr>
        <w:t xml:space="preserve"> </w:t>
      </w:r>
      <w:r w:rsidRPr="004F743E">
        <w:rPr>
          <w:rFonts w:ascii="Tahoma" w:eastAsia="Arial" w:hAnsi="Tahoma" w:cs="Tahoma"/>
          <w:color w:val="000000"/>
          <w:sz w:val="20"/>
          <w:szCs w:val="20"/>
        </w:rPr>
        <w:t>qualquer subcontratação deve ser</w:t>
      </w:r>
      <w:r w:rsidRPr="004F743E">
        <w:rPr>
          <w:rFonts w:ascii="Tahoma" w:eastAsia="Arial" w:hAnsi="Tahoma" w:cs="Tahoma"/>
          <w:b/>
          <w:color w:val="000000"/>
          <w:sz w:val="20"/>
          <w:szCs w:val="20"/>
        </w:rPr>
        <w:t xml:space="preserve"> </w:t>
      </w:r>
      <w:r w:rsidRPr="004F743E">
        <w:rPr>
          <w:rFonts w:ascii="Tahoma" w:eastAsia="Arial" w:hAnsi="Tahoma" w:cs="Tahoma"/>
          <w:color w:val="000000"/>
          <w:sz w:val="20"/>
          <w:szCs w:val="20"/>
        </w:rPr>
        <w:t>aprovada previamente pela Administração, que exigirá</w:t>
      </w:r>
      <w:r w:rsidRPr="004F743E">
        <w:rPr>
          <w:rFonts w:ascii="Tahoma" w:eastAsia="Arial" w:hAnsi="Tahoma" w:cs="Tahoma"/>
          <w:b/>
          <w:color w:val="000000"/>
          <w:sz w:val="20"/>
          <w:szCs w:val="20"/>
        </w:rPr>
        <w:t xml:space="preserve"> </w:t>
      </w:r>
      <w:r w:rsidRPr="004F743E">
        <w:rPr>
          <w:rFonts w:ascii="Tahoma" w:eastAsia="Arial" w:hAnsi="Tahoma" w:cs="Tahoma"/>
          <w:color w:val="000000"/>
          <w:sz w:val="20"/>
          <w:szCs w:val="20"/>
        </w:rPr>
        <w:t>que a subcontratada comprove qualificação técnica e regularidade fiscal compatíveis com a parcela a ser executada.</w:t>
      </w:r>
    </w:p>
    <w:p w14:paraId="5670D75F" w14:textId="77777777" w:rsidR="00D05504" w:rsidRPr="004F743E" w:rsidRDefault="00004375" w:rsidP="00BB4A97">
      <w:pPr>
        <w:numPr>
          <w:ilvl w:val="1"/>
          <w:numId w:val="13"/>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O contrato oferece maior detalhamento das regras que serão aplicadas em relação à subcontratação.</w:t>
      </w:r>
    </w:p>
    <w:p w14:paraId="0FC298C9" w14:textId="77777777" w:rsidR="00D05504" w:rsidRPr="004F743E" w:rsidRDefault="00004375" w:rsidP="00BB4A97">
      <w:pPr>
        <w:numPr>
          <w:ilvl w:val="1"/>
          <w:numId w:val="13"/>
        </w:numPr>
        <w:pBdr>
          <w:top w:val="nil"/>
          <w:left w:val="nil"/>
          <w:bottom w:val="nil"/>
          <w:right w:val="nil"/>
          <w:between w:val="nil"/>
        </w:pBdr>
        <w:spacing w:beforeLines="80" w:before="192" w:afterLines="80" w:after="192" w:line="276" w:lineRule="auto"/>
        <w:ind w:left="426"/>
        <w:jc w:val="both"/>
        <w:rPr>
          <w:rFonts w:ascii="Tahoma" w:eastAsia="Arial" w:hAnsi="Tahoma" w:cs="Tahoma"/>
          <w:b/>
          <w:bCs/>
          <w:color w:val="000000"/>
          <w:sz w:val="20"/>
          <w:szCs w:val="20"/>
        </w:rPr>
      </w:pPr>
      <w:r w:rsidRPr="004F743E">
        <w:rPr>
          <w:rFonts w:ascii="Tahoma" w:eastAsia="Arial" w:hAnsi="Tahoma" w:cs="Tahoma"/>
          <w:b/>
          <w:bCs/>
          <w:color w:val="000000"/>
          <w:sz w:val="20"/>
          <w:szCs w:val="20"/>
        </w:rPr>
        <w:t>Garantia da contratação</w:t>
      </w:r>
    </w:p>
    <w:p w14:paraId="594B6090" w14:textId="77777777" w:rsidR="00D162FE" w:rsidRPr="004F743E" w:rsidRDefault="00004375" w:rsidP="00BB4A97">
      <w:pPr>
        <w:pStyle w:val="PargrafodaLista"/>
        <w:numPr>
          <w:ilvl w:val="2"/>
          <w:numId w:val="1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Será exigida a garantia da contratação de que tratam os arts. 96 e seguintes da Lei nº 14.133, de 2021, no percentual 10% e condições descritas nas cláusulas do contrato</w:t>
      </w:r>
      <w:r w:rsidR="00D162FE" w:rsidRPr="004F743E">
        <w:rPr>
          <w:rFonts w:ascii="Tahoma" w:eastAsia="Arial" w:hAnsi="Tahoma" w:cs="Tahoma"/>
          <w:color w:val="000000"/>
          <w:sz w:val="20"/>
          <w:szCs w:val="20"/>
        </w:rPr>
        <w:t xml:space="preserve">. </w:t>
      </w:r>
    </w:p>
    <w:p w14:paraId="275255FB" w14:textId="22AD88E2" w:rsidR="00D162FE" w:rsidRPr="004F743E" w:rsidRDefault="00D162FE" w:rsidP="00BB4A97">
      <w:pPr>
        <w:pStyle w:val="PargrafodaLista"/>
        <w:numPr>
          <w:ilvl w:val="2"/>
          <w:numId w:val="1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A garantia deverá ser prestada pela contratada </w:t>
      </w:r>
      <w:r w:rsidRPr="004F743E">
        <w:rPr>
          <w:rFonts w:ascii="Tahoma" w:eastAsia="Arial" w:hAnsi="Tahoma" w:cs="Tahoma"/>
          <w:b/>
          <w:bCs/>
          <w:color w:val="000000"/>
          <w:sz w:val="20"/>
          <w:szCs w:val="20"/>
        </w:rPr>
        <w:t>em até 05 dias após a ordem de serviço</w:t>
      </w:r>
      <w:r w:rsidRPr="004F743E">
        <w:rPr>
          <w:rFonts w:ascii="Tahoma" w:eastAsia="Arial" w:hAnsi="Tahoma" w:cs="Tahoma"/>
          <w:color w:val="000000"/>
          <w:sz w:val="20"/>
          <w:szCs w:val="20"/>
        </w:rPr>
        <w:t xml:space="preserve"> e poderá ser apresentada em </w:t>
      </w:r>
      <w:r w:rsidRPr="004F743E">
        <w:rPr>
          <w:rFonts w:ascii="Tahoma" w:eastAsia="Arial" w:hAnsi="Tahoma" w:cs="Tahoma"/>
          <w:b/>
          <w:bCs/>
          <w:color w:val="000000"/>
          <w:sz w:val="20"/>
          <w:szCs w:val="20"/>
        </w:rPr>
        <w:t>uma das seguintes modalidades, à sua livre escolha</w:t>
      </w:r>
      <w:r w:rsidRPr="004F743E">
        <w:rPr>
          <w:rFonts w:ascii="Tahoma" w:eastAsia="Arial" w:hAnsi="Tahoma" w:cs="Tahoma"/>
          <w:color w:val="000000"/>
          <w:sz w:val="20"/>
          <w:szCs w:val="20"/>
        </w:rPr>
        <w:t>:</w:t>
      </w:r>
    </w:p>
    <w:p w14:paraId="3829872D" w14:textId="17A96E4D" w:rsidR="00D162FE" w:rsidRPr="004F743E" w:rsidRDefault="00D162FE"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I – </w:t>
      </w:r>
      <w:r w:rsidR="004F743E" w:rsidRPr="004F743E">
        <w:rPr>
          <w:rFonts w:ascii="Tahoma" w:eastAsia="Arial" w:hAnsi="Tahoma" w:cs="Tahoma"/>
          <w:b/>
          <w:bCs/>
          <w:color w:val="000000"/>
          <w:sz w:val="20"/>
          <w:szCs w:val="20"/>
        </w:rPr>
        <w:t>Caução</w:t>
      </w:r>
      <w:r w:rsidRPr="004F743E">
        <w:rPr>
          <w:rFonts w:ascii="Tahoma" w:eastAsia="Arial" w:hAnsi="Tahoma" w:cs="Tahoma"/>
          <w:b/>
          <w:bCs/>
          <w:color w:val="000000"/>
          <w:sz w:val="20"/>
          <w:szCs w:val="20"/>
        </w:rPr>
        <w:t xml:space="preserve"> em dinheiro ou em títulos da dívida pública</w:t>
      </w:r>
      <w:r w:rsidRPr="004F743E">
        <w:rPr>
          <w:rFonts w:ascii="Tahoma" w:eastAsia="Arial" w:hAnsi="Tahoma" w:cs="Tahoma"/>
          <w:color w:val="000000"/>
          <w:sz w:val="20"/>
          <w:szCs w:val="20"/>
        </w:rPr>
        <w:t>, emitidos sob a forma escritural, mediante registro em sistema centralizado de liquidação e de custódia autorizado pelo Banco Central do Brasil e avaliados pelos seus valores econômicos, conforme regras fixadas pelo Ministério da Economia;</w:t>
      </w:r>
    </w:p>
    <w:p w14:paraId="74D90FAC" w14:textId="49D581D3" w:rsidR="00D162FE" w:rsidRPr="004F743E" w:rsidRDefault="00D162FE"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II – </w:t>
      </w:r>
      <w:r w:rsidR="004F743E" w:rsidRPr="004F743E">
        <w:rPr>
          <w:rFonts w:ascii="Tahoma" w:eastAsia="Arial" w:hAnsi="Tahoma" w:cs="Tahoma"/>
          <w:b/>
          <w:bCs/>
          <w:color w:val="000000"/>
          <w:sz w:val="20"/>
          <w:szCs w:val="20"/>
        </w:rPr>
        <w:t>Seguro</w:t>
      </w:r>
      <w:r w:rsidRPr="004F743E">
        <w:rPr>
          <w:rFonts w:ascii="Tahoma" w:eastAsia="Arial" w:hAnsi="Tahoma" w:cs="Tahoma"/>
          <w:b/>
          <w:bCs/>
          <w:color w:val="000000"/>
          <w:sz w:val="20"/>
          <w:szCs w:val="20"/>
        </w:rPr>
        <w:noBreakHyphen/>
        <w:t>garantia</w:t>
      </w:r>
      <w:r w:rsidRPr="004F743E">
        <w:rPr>
          <w:rFonts w:ascii="Tahoma" w:eastAsia="Arial" w:hAnsi="Tahoma" w:cs="Tahoma"/>
          <w:color w:val="000000"/>
          <w:sz w:val="20"/>
          <w:szCs w:val="20"/>
        </w:rPr>
        <w:t>, em apólice que atenda às condições estabelecidas neste Termo de Referência e no edital;</w:t>
      </w:r>
    </w:p>
    <w:p w14:paraId="1CB948E4" w14:textId="463B2C46" w:rsidR="00D162FE" w:rsidRPr="004F743E" w:rsidRDefault="00D162FE"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III – </w:t>
      </w:r>
      <w:r w:rsidRPr="004F743E">
        <w:rPr>
          <w:rFonts w:ascii="Tahoma" w:eastAsia="Arial" w:hAnsi="Tahoma" w:cs="Tahoma"/>
          <w:b/>
          <w:bCs/>
          <w:color w:val="000000"/>
          <w:sz w:val="20"/>
          <w:szCs w:val="20"/>
        </w:rPr>
        <w:t>fiança bancária</w:t>
      </w:r>
      <w:r w:rsidRPr="004F743E">
        <w:rPr>
          <w:rFonts w:ascii="Tahoma" w:eastAsia="Arial" w:hAnsi="Tahoma" w:cs="Tahoma"/>
          <w:color w:val="000000"/>
          <w:sz w:val="20"/>
          <w:szCs w:val="20"/>
        </w:rPr>
        <w:t>, emitida por instituição financeira autorizada a funcionar pelo Banco Central do Brasil.</w:t>
      </w:r>
    </w:p>
    <w:p w14:paraId="0B2E09FB" w14:textId="26ACD4B1" w:rsidR="00D162FE" w:rsidRPr="004F743E" w:rsidRDefault="00D162FE"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5.3.3 A garantia deverá permanecer </w:t>
      </w:r>
      <w:r w:rsidRPr="004F743E">
        <w:rPr>
          <w:rFonts w:ascii="Tahoma" w:eastAsia="Arial" w:hAnsi="Tahoma" w:cs="Tahoma"/>
          <w:b/>
          <w:bCs/>
          <w:color w:val="000000"/>
          <w:sz w:val="20"/>
          <w:szCs w:val="20"/>
        </w:rPr>
        <w:t>válida e vigente durante toda a execução contratual</w:t>
      </w:r>
      <w:r w:rsidRPr="004F743E">
        <w:rPr>
          <w:rFonts w:ascii="Tahoma" w:eastAsia="Arial" w:hAnsi="Tahoma" w:cs="Tahoma"/>
          <w:color w:val="000000"/>
          <w:sz w:val="20"/>
          <w:szCs w:val="20"/>
        </w:rPr>
        <w:t>, inclusive eventuais prorrogações, devendo ser renovada ou complementada sempre que houver reajuste, acréscimo ou prorrogação que altere o valor ou o prazo do contrato.</w:t>
      </w:r>
    </w:p>
    <w:p w14:paraId="004189AD" w14:textId="7F2A0683" w:rsidR="00D162FE" w:rsidRPr="004F743E" w:rsidRDefault="00D162FE"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5.3.4. A não apresentação ou a não renovação da garantia, nas condições e prazos estabelecidos, caracterizará </w:t>
      </w:r>
      <w:r w:rsidRPr="004F743E">
        <w:rPr>
          <w:rFonts w:ascii="Tahoma" w:eastAsia="Arial" w:hAnsi="Tahoma" w:cs="Tahoma"/>
          <w:b/>
          <w:bCs/>
          <w:color w:val="000000"/>
          <w:sz w:val="20"/>
          <w:szCs w:val="20"/>
        </w:rPr>
        <w:t>inadimplemento contratual</w:t>
      </w:r>
      <w:r w:rsidRPr="004F743E">
        <w:rPr>
          <w:rFonts w:ascii="Tahoma" w:eastAsia="Arial" w:hAnsi="Tahoma" w:cs="Tahoma"/>
          <w:color w:val="000000"/>
          <w:sz w:val="20"/>
          <w:szCs w:val="20"/>
        </w:rPr>
        <w:t>, ensejando a aplicação das sanções previstas na Lei nº 14.133/2021 e no contrato, sem prejuízo da rescisão contratual, se for o caso.</w:t>
      </w:r>
    </w:p>
    <w:p w14:paraId="6D4B5AC2" w14:textId="3680D10F" w:rsidR="00D162FE" w:rsidRPr="004F743E" w:rsidRDefault="00D162FE"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5.3.5. A garantia somente será liberada ou restituída após a </w:t>
      </w:r>
      <w:r w:rsidRPr="004F743E">
        <w:rPr>
          <w:rFonts w:ascii="Tahoma" w:eastAsia="Arial" w:hAnsi="Tahoma" w:cs="Tahoma"/>
          <w:b/>
          <w:bCs/>
          <w:color w:val="000000"/>
          <w:sz w:val="20"/>
          <w:szCs w:val="20"/>
        </w:rPr>
        <w:t>liquidação final das obrigações contratuais</w:t>
      </w:r>
      <w:r w:rsidRPr="004F743E">
        <w:rPr>
          <w:rFonts w:ascii="Tahoma" w:eastAsia="Arial" w:hAnsi="Tahoma" w:cs="Tahoma"/>
          <w:color w:val="000000"/>
          <w:sz w:val="20"/>
          <w:szCs w:val="20"/>
        </w:rPr>
        <w:t>, mediante termo de recebimento definitivo do objeto e comprovação de inexistência de pendências financeiras, sem prejuízo da retenção de valores necessários à cobertura de eventuais multas ou danos apurados.</w:t>
      </w:r>
    </w:p>
    <w:p w14:paraId="7991C503" w14:textId="1C79D610" w:rsidR="00634DA7" w:rsidRPr="004F743E" w:rsidRDefault="00634DA7" w:rsidP="00BB4A97">
      <w:pPr>
        <w:pStyle w:val="PargrafodaLista"/>
        <w:numPr>
          <w:ilvl w:val="1"/>
          <w:numId w:val="13"/>
        </w:numPr>
        <w:pBdr>
          <w:top w:val="nil"/>
          <w:left w:val="nil"/>
          <w:bottom w:val="nil"/>
          <w:right w:val="nil"/>
          <w:between w:val="nil"/>
        </w:pBdr>
        <w:spacing w:beforeLines="80" w:before="192" w:afterLines="80" w:after="192" w:line="276" w:lineRule="auto"/>
        <w:jc w:val="both"/>
        <w:rPr>
          <w:rFonts w:ascii="Tahoma" w:eastAsia="Arial" w:hAnsi="Tahoma" w:cs="Tahoma"/>
          <w:b/>
          <w:bCs/>
          <w:color w:val="000000"/>
          <w:sz w:val="20"/>
          <w:szCs w:val="20"/>
        </w:rPr>
      </w:pPr>
      <w:r w:rsidRPr="004F743E">
        <w:rPr>
          <w:rFonts w:ascii="Tahoma" w:eastAsia="Arial" w:hAnsi="Tahoma" w:cs="Tahoma"/>
          <w:b/>
          <w:bCs/>
          <w:color w:val="000000"/>
          <w:sz w:val="20"/>
          <w:szCs w:val="20"/>
        </w:rPr>
        <w:t>Da exigência do Programa de Integridade</w:t>
      </w:r>
    </w:p>
    <w:p w14:paraId="65A1283A" w14:textId="4182AAC6"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5.4.1 A contratada deverá implementar e manter Programa de Integridade (compliance) compatível com seu porte e com o grau de risco da presente contratação, em conformidade com o art. 25, § 4º, da Lei nº 14.133/2021.</w:t>
      </w:r>
    </w:p>
    <w:p w14:paraId="72912A5C" w14:textId="7E4B0371"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5.4.2 O Programa de Integridade poderá ser exigido como obrigação a ser cumprida após a assinatura do contrato, devendo a contratada comprovar sua implementação no prazo máximo de 90 (noventa) dias, contado da data de assinatura, sob pena de aplicação das sanções cabíveis.</w:t>
      </w:r>
    </w:p>
    <w:p w14:paraId="4612FDD6" w14:textId="2BDB1641"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5.4.3 O Programa de Integridade deverá abranger, no mínimo, os seguintes elementos:</w:t>
      </w:r>
    </w:p>
    <w:p w14:paraId="61A0E2AA" w14:textId="61842BD7"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5.4.3.1 Código de Ética e Conduta, aplicável a sócios, administradores, empregados e terceiros vinculados à execução do contrato, com diretrizes claras sobre prevenção à fraude e à corrupção, conflitos de interesse e relacionamento com o poder público;</w:t>
      </w:r>
    </w:p>
    <w:p w14:paraId="7424917C" w14:textId="47863FD4"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5.4.3.2 Políticas e procedimentos internos voltados à prevenção, detecção e remediação de atos lesivos à Administração Pública, incluindo regras para:</w:t>
      </w:r>
    </w:p>
    <w:p w14:paraId="39EE3A4F" w14:textId="77777777" w:rsidR="00634DA7" w:rsidRPr="004F743E" w:rsidRDefault="00634DA7" w:rsidP="00BB4A97">
      <w:pPr>
        <w:numPr>
          <w:ilvl w:val="0"/>
          <w:numId w:val="20"/>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contratação de terceiros e subcontratados;</w:t>
      </w:r>
    </w:p>
    <w:p w14:paraId="033FB0B6" w14:textId="77777777" w:rsidR="00634DA7" w:rsidRPr="004F743E" w:rsidRDefault="00634DA7" w:rsidP="00BB4A97">
      <w:pPr>
        <w:numPr>
          <w:ilvl w:val="0"/>
          <w:numId w:val="20"/>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controles sobre emissão de notas fiscais, medições e pagamentos relativos à obra;</w:t>
      </w:r>
    </w:p>
    <w:p w14:paraId="3D6AD896" w14:textId="77777777" w:rsidR="00634DA7" w:rsidRPr="004F743E" w:rsidRDefault="00634DA7" w:rsidP="00BB4A97">
      <w:pPr>
        <w:numPr>
          <w:ilvl w:val="0"/>
          <w:numId w:val="20"/>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registros contábeis fidedignos e segregação de funções em atividades críticas;</w:t>
      </w:r>
    </w:p>
    <w:p w14:paraId="4703BB40" w14:textId="66FFFF0A"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5.4.3.3 Canal de denúncias, interno e/ou externo, acessível a empregados, terceiros e ao público em geral, que permita o relato, inclusive anônimo, de suspeitas de irregularidades, com garantia de confidencialidade e tratamento adequado das manifestações;</w:t>
      </w:r>
    </w:p>
    <w:p w14:paraId="75335F09" w14:textId="2E738D1B"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5.4.3.4</w:t>
      </w:r>
      <w:r w:rsidR="00BF2514" w:rsidRPr="004F743E">
        <w:rPr>
          <w:rFonts w:ascii="Tahoma" w:eastAsia="Arial" w:hAnsi="Tahoma" w:cs="Tahoma"/>
          <w:color w:val="000000"/>
          <w:sz w:val="20"/>
          <w:szCs w:val="20"/>
        </w:rPr>
        <w:t xml:space="preserve"> </w:t>
      </w:r>
      <w:r w:rsidRPr="004F743E">
        <w:rPr>
          <w:rFonts w:ascii="Tahoma" w:eastAsia="Arial" w:hAnsi="Tahoma" w:cs="Tahoma"/>
          <w:color w:val="000000"/>
          <w:sz w:val="20"/>
          <w:szCs w:val="20"/>
        </w:rPr>
        <w:t>Procedimentos para apuração de denúncias e aplicação de medidas disciplinares ou corretivas, quando cabíveis;</w:t>
      </w:r>
    </w:p>
    <w:p w14:paraId="4ED1E5D6" w14:textId="5C6491FD"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5.4.3.5 Treinamentos periódicos em integridade/compliance para os colaboradores envolvidos direta ou indiretamente na execução do contrato, com registros de participação;</w:t>
      </w:r>
    </w:p>
    <w:p w14:paraId="656B2F76" w14:textId="671E42D1"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5.4.3.6 Responsável designado (pessoa ou área) pela coordenação do Programa de Integridade, com atribuições formais para acompanhar sua aplicação no âmbito deste contrato;</w:t>
      </w:r>
    </w:p>
    <w:p w14:paraId="5C08B136" w14:textId="1136921E"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5.4.3.7 Controles internos mínimos específicos para contratos de obras públicas, incluindo:</w:t>
      </w:r>
    </w:p>
    <w:p w14:paraId="54833B4F" w14:textId="77777777" w:rsidR="00634DA7" w:rsidRPr="004F743E" w:rsidRDefault="00634DA7" w:rsidP="00BB4A97">
      <w:pPr>
        <w:numPr>
          <w:ilvl w:val="0"/>
          <w:numId w:val="21"/>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procedimentos de conferência e aprovação de medições;</w:t>
      </w:r>
    </w:p>
    <w:p w14:paraId="4987259B" w14:textId="77777777" w:rsidR="00634DA7" w:rsidRPr="004F743E" w:rsidRDefault="00634DA7" w:rsidP="00BB4A97">
      <w:pPr>
        <w:numPr>
          <w:ilvl w:val="0"/>
          <w:numId w:val="21"/>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arquivo organizado da documentação técnica e financeira do contrato;</w:t>
      </w:r>
    </w:p>
    <w:p w14:paraId="60BA9854" w14:textId="77777777" w:rsidR="00634DA7" w:rsidRPr="004F743E" w:rsidRDefault="00634DA7" w:rsidP="00BB4A97">
      <w:pPr>
        <w:numPr>
          <w:ilvl w:val="0"/>
          <w:numId w:val="21"/>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mecanismos de prevenção a fraudes em licitações e contratos.</w:t>
      </w:r>
    </w:p>
    <w:p w14:paraId="7172B35E" w14:textId="56AC1CA7"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5.4.4 Para fins de comprovação do Programa de Integridade, a contratada deverá apresentar, no prazo fixado neste Termo de Referência e no edital:</w:t>
      </w:r>
    </w:p>
    <w:p w14:paraId="45C00FE2" w14:textId="77777777"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I – Relatório descritivo do Programa de Integridade, indicando sua estrutura, políticas, procedimentos e responsáveis;</w:t>
      </w:r>
    </w:p>
    <w:p w14:paraId="585809B8" w14:textId="742E2505"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II – Cópia do Código de Ética e Conduta e das principais políticas relacionadas ao tema;</w:t>
      </w:r>
      <w:r w:rsidRPr="004F743E">
        <w:rPr>
          <w:rFonts w:ascii="Tahoma" w:eastAsia="Arial" w:hAnsi="Tahoma" w:cs="Tahoma"/>
          <w:color w:val="000000"/>
          <w:sz w:val="20"/>
          <w:szCs w:val="20"/>
        </w:rPr>
        <w:br/>
        <w:t>III – Evidências da existência e do funcionamento do canal de denúncias;</w:t>
      </w:r>
      <w:r w:rsidRPr="004F743E">
        <w:rPr>
          <w:rFonts w:ascii="Tahoma" w:eastAsia="Arial" w:hAnsi="Tahoma" w:cs="Tahoma"/>
          <w:color w:val="000000"/>
          <w:sz w:val="20"/>
          <w:szCs w:val="20"/>
        </w:rPr>
        <w:br/>
        <w:t>IV – Plano de treinamentos e, quando houver, registros de treinamentos já realizados;</w:t>
      </w:r>
      <w:r w:rsidRPr="004F743E">
        <w:rPr>
          <w:rFonts w:ascii="Tahoma" w:eastAsia="Arial" w:hAnsi="Tahoma" w:cs="Tahoma"/>
          <w:color w:val="000000"/>
          <w:sz w:val="20"/>
          <w:szCs w:val="20"/>
        </w:rPr>
        <w:br/>
        <w:t>V – Documento de nomeação/formalização do responsável (ou área responsável) pelo Programa de Integridade.</w:t>
      </w:r>
    </w:p>
    <w:p w14:paraId="4479B953" w14:textId="3F9C45F0" w:rsidR="00634DA7"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5.4.5 O Programa de Integridade deverá ser mantido em funcionamento durante toda a vigência contratual, podendo a Administração, a qualquer tempo, solicitar documentos comprobatórios, relatórios de funcionamento e outras evidências que julgar necessárias.</w:t>
      </w:r>
    </w:p>
    <w:p w14:paraId="74FCC8BC" w14:textId="21F90F4A" w:rsidR="000C10E1" w:rsidRPr="004F743E" w:rsidRDefault="00634DA7"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5.4.6 </w:t>
      </w:r>
      <w:r w:rsidR="000C10E1" w:rsidRPr="004F743E">
        <w:rPr>
          <w:rFonts w:ascii="Tahoma" w:eastAsia="Arial" w:hAnsi="Tahoma" w:cs="Tahoma"/>
          <w:color w:val="000000"/>
          <w:sz w:val="20"/>
          <w:szCs w:val="20"/>
        </w:rPr>
        <w:t>O descumprimento, total ou parcial, das obrigações relativas ao Programa de Integridade previstas neste Termo de Referência e no edital, inclusive:</w:t>
      </w:r>
    </w:p>
    <w:p w14:paraId="50F5F26B" w14:textId="77777777"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 – </w:t>
      </w:r>
      <w:proofErr w:type="gramStart"/>
      <w:r w:rsidRPr="004F743E">
        <w:rPr>
          <w:rFonts w:ascii="Tahoma" w:eastAsia="Arial" w:hAnsi="Tahoma" w:cs="Tahoma"/>
          <w:color w:val="000000"/>
          <w:sz w:val="20"/>
          <w:szCs w:val="20"/>
        </w:rPr>
        <w:t>não</w:t>
      </w:r>
      <w:proofErr w:type="gramEnd"/>
      <w:r w:rsidRPr="004F743E">
        <w:rPr>
          <w:rFonts w:ascii="Tahoma" w:eastAsia="Arial" w:hAnsi="Tahoma" w:cs="Tahoma"/>
          <w:color w:val="000000"/>
          <w:sz w:val="20"/>
          <w:szCs w:val="20"/>
        </w:rPr>
        <w:t xml:space="preserve"> implementação do Programa de Integridade no prazo estabelecido;</w:t>
      </w:r>
    </w:p>
    <w:p w14:paraId="1B8A1A26" w14:textId="77777777"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II – </w:t>
      </w:r>
      <w:proofErr w:type="gramStart"/>
      <w:r w:rsidRPr="004F743E">
        <w:rPr>
          <w:rFonts w:ascii="Tahoma" w:eastAsia="Arial" w:hAnsi="Tahoma" w:cs="Tahoma"/>
          <w:color w:val="000000"/>
          <w:sz w:val="20"/>
          <w:szCs w:val="20"/>
        </w:rPr>
        <w:t>implementação</w:t>
      </w:r>
      <w:proofErr w:type="gramEnd"/>
      <w:r w:rsidRPr="004F743E">
        <w:rPr>
          <w:rFonts w:ascii="Tahoma" w:eastAsia="Arial" w:hAnsi="Tahoma" w:cs="Tahoma"/>
          <w:color w:val="000000"/>
          <w:sz w:val="20"/>
          <w:szCs w:val="20"/>
        </w:rPr>
        <w:t xml:space="preserve"> meramente formal, sem elementos mínimos exigidos;</w:t>
      </w:r>
    </w:p>
    <w:p w14:paraId="452BC1F0" w14:textId="103C1722"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III – desativação ou descontinuidade injustificada de mecanismos essenciais (como canal de denúncias, responsáveis designados ou controles internos básicos); configurará </w:t>
      </w:r>
      <w:r w:rsidRPr="004F743E">
        <w:rPr>
          <w:rFonts w:ascii="Tahoma" w:eastAsia="Arial" w:hAnsi="Tahoma" w:cs="Tahoma"/>
          <w:b/>
          <w:bCs/>
          <w:color w:val="000000"/>
          <w:sz w:val="20"/>
          <w:szCs w:val="20"/>
        </w:rPr>
        <w:t>inadimplemento contratual</w:t>
      </w:r>
      <w:r w:rsidRPr="004F743E">
        <w:rPr>
          <w:rFonts w:ascii="Tahoma" w:eastAsia="Arial" w:hAnsi="Tahoma" w:cs="Tahoma"/>
          <w:color w:val="000000"/>
          <w:sz w:val="20"/>
          <w:szCs w:val="20"/>
        </w:rPr>
        <w:t>, sujeitando a contratada às sanções administrativas previstas na Lei nº 14.133/2021 e no contrato.</w:t>
      </w:r>
    </w:p>
    <w:p w14:paraId="3ABBEC27" w14:textId="66471D57"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5.4.7 Observados o contraditório e a ampla defesa, a Administração poderá aplicar, isolada ou cumulativamente, conforme a gravidade da infração e os antecedentes da contratada, as seguintes sanções:</w:t>
      </w:r>
    </w:p>
    <w:p w14:paraId="565F7772" w14:textId="77777777"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a) </w:t>
      </w:r>
      <w:r w:rsidRPr="004F743E">
        <w:rPr>
          <w:rFonts w:ascii="Tahoma" w:eastAsia="Arial" w:hAnsi="Tahoma" w:cs="Tahoma"/>
          <w:b/>
          <w:bCs/>
          <w:color w:val="000000"/>
          <w:sz w:val="20"/>
          <w:szCs w:val="20"/>
        </w:rPr>
        <w:t>Advertência</w:t>
      </w:r>
      <w:r w:rsidRPr="004F743E">
        <w:rPr>
          <w:rFonts w:ascii="Tahoma" w:eastAsia="Arial" w:hAnsi="Tahoma" w:cs="Tahoma"/>
          <w:color w:val="000000"/>
          <w:sz w:val="20"/>
          <w:szCs w:val="20"/>
        </w:rPr>
        <w:t>, nos casos de irregularidades formais ou de menor gravidade, com fixação de prazo para regularização;</w:t>
      </w:r>
    </w:p>
    <w:p w14:paraId="2776441B" w14:textId="77777777"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b) </w:t>
      </w:r>
      <w:r w:rsidRPr="004F743E">
        <w:rPr>
          <w:rFonts w:ascii="Tahoma" w:eastAsia="Arial" w:hAnsi="Tahoma" w:cs="Tahoma"/>
          <w:b/>
          <w:bCs/>
          <w:color w:val="000000"/>
          <w:sz w:val="20"/>
          <w:szCs w:val="20"/>
        </w:rPr>
        <w:t>Multa</w:t>
      </w:r>
      <w:r w:rsidRPr="004F743E">
        <w:rPr>
          <w:rFonts w:ascii="Tahoma" w:eastAsia="Arial" w:hAnsi="Tahoma" w:cs="Tahoma"/>
          <w:color w:val="000000"/>
          <w:sz w:val="20"/>
          <w:szCs w:val="20"/>
        </w:rPr>
        <w:t>, conforme percentuais e critérios estabelecidos no edital e no contrato, aplicada, por exemplo, em caso de:</w:t>
      </w:r>
    </w:p>
    <w:p w14:paraId="7F1F84AA" w14:textId="77777777" w:rsidR="000C10E1" w:rsidRPr="004F743E" w:rsidRDefault="000C10E1" w:rsidP="00BB4A97">
      <w:pPr>
        <w:numPr>
          <w:ilvl w:val="0"/>
          <w:numId w:val="22"/>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não comprovação do Programa de Integridade no prazo contratual;</w:t>
      </w:r>
    </w:p>
    <w:p w14:paraId="77316B2F" w14:textId="77777777" w:rsidR="000C10E1" w:rsidRPr="004F743E" w:rsidRDefault="000C10E1" w:rsidP="00BB4A97">
      <w:pPr>
        <w:numPr>
          <w:ilvl w:val="0"/>
          <w:numId w:val="22"/>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não atendimento a determinações de correção ou aprimoramento do programa pela Administração;</w:t>
      </w:r>
    </w:p>
    <w:p w14:paraId="3DE9ECF9" w14:textId="77777777"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c) </w:t>
      </w:r>
      <w:r w:rsidRPr="004F743E">
        <w:rPr>
          <w:rFonts w:ascii="Tahoma" w:eastAsia="Arial" w:hAnsi="Tahoma" w:cs="Tahoma"/>
          <w:b/>
          <w:bCs/>
          <w:color w:val="000000"/>
          <w:sz w:val="20"/>
          <w:szCs w:val="20"/>
        </w:rPr>
        <w:t>Suspensão temporária de participação em licitação e impedimento de contratar</w:t>
      </w:r>
      <w:r w:rsidRPr="004F743E">
        <w:rPr>
          <w:rFonts w:ascii="Tahoma" w:eastAsia="Arial" w:hAnsi="Tahoma" w:cs="Tahoma"/>
          <w:color w:val="000000"/>
          <w:sz w:val="20"/>
          <w:szCs w:val="20"/>
        </w:rPr>
        <w:t> com a Administração, pelo prazo de até 3 (três) anos, nos termos do art. 156, inciso III, da Lei nº 14.133/2021, quando o descumprimento das obrigações de integridade for grave, reiterado ou indicar dolo na omissão de controles;</w:t>
      </w:r>
    </w:p>
    <w:p w14:paraId="5234F2E2" w14:textId="6E8D945A"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d) </w:t>
      </w:r>
      <w:r w:rsidRPr="004F743E">
        <w:rPr>
          <w:rFonts w:ascii="Tahoma" w:eastAsia="Arial" w:hAnsi="Tahoma" w:cs="Tahoma"/>
          <w:b/>
          <w:bCs/>
          <w:color w:val="000000"/>
          <w:sz w:val="20"/>
          <w:szCs w:val="20"/>
        </w:rPr>
        <w:t>Declaração de inidoneidade para licitar ou contratar</w:t>
      </w:r>
      <w:r w:rsidRPr="004F743E">
        <w:rPr>
          <w:rFonts w:ascii="Tahoma" w:eastAsia="Arial" w:hAnsi="Tahoma" w:cs="Tahoma"/>
          <w:color w:val="000000"/>
          <w:sz w:val="20"/>
          <w:szCs w:val="20"/>
        </w:rPr>
        <w:t xml:space="preserve"> com a Administração Pública, nos termos do art. 156, inciso IV, da Lei nº 14.133/2021, em situações extremas, especialmente quando ficar demonstrado que a inexistência ou a fraude no Programa de Integridade contribuiu para a prática de atos lesivos à Administração (fraude, corrupção, </w:t>
      </w:r>
      <w:r w:rsidR="00F9639E" w:rsidRPr="004F743E">
        <w:rPr>
          <w:rFonts w:ascii="Tahoma" w:eastAsia="Arial" w:hAnsi="Tahoma" w:cs="Tahoma"/>
          <w:color w:val="000000"/>
          <w:sz w:val="20"/>
          <w:szCs w:val="20"/>
        </w:rPr>
        <w:t>superfaturamento etc.</w:t>
      </w:r>
      <w:r w:rsidRPr="004F743E">
        <w:rPr>
          <w:rFonts w:ascii="Tahoma" w:eastAsia="Arial" w:hAnsi="Tahoma" w:cs="Tahoma"/>
          <w:color w:val="000000"/>
          <w:sz w:val="20"/>
          <w:szCs w:val="20"/>
        </w:rPr>
        <w:t>).</w:t>
      </w:r>
    </w:p>
    <w:p w14:paraId="5456AD8E" w14:textId="3A67954F"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5.4.8 A aplicação das sanções relativas ao Programa de Integridade </w:t>
      </w:r>
      <w:r w:rsidRPr="004F743E">
        <w:rPr>
          <w:rFonts w:ascii="Tahoma" w:eastAsia="Arial" w:hAnsi="Tahoma" w:cs="Tahoma"/>
          <w:b/>
          <w:bCs/>
          <w:color w:val="000000"/>
          <w:sz w:val="20"/>
          <w:szCs w:val="20"/>
        </w:rPr>
        <w:t>não exclui</w:t>
      </w:r>
      <w:r w:rsidRPr="004F743E">
        <w:rPr>
          <w:rFonts w:ascii="Tahoma" w:eastAsia="Arial" w:hAnsi="Tahoma" w:cs="Tahoma"/>
          <w:color w:val="000000"/>
          <w:sz w:val="20"/>
          <w:szCs w:val="20"/>
        </w:rPr>
        <w:t>:</w:t>
      </w:r>
    </w:p>
    <w:p w14:paraId="1960F168" w14:textId="77777777"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 – </w:t>
      </w:r>
      <w:proofErr w:type="gramStart"/>
      <w:r w:rsidRPr="004F743E">
        <w:rPr>
          <w:rFonts w:ascii="Tahoma" w:eastAsia="Arial" w:hAnsi="Tahoma" w:cs="Tahoma"/>
          <w:color w:val="000000"/>
          <w:sz w:val="20"/>
          <w:szCs w:val="20"/>
        </w:rPr>
        <w:t>a</w:t>
      </w:r>
      <w:proofErr w:type="gramEnd"/>
      <w:r w:rsidRPr="004F743E">
        <w:rPr>
          <w:rFonts w:ascii="Tahoma" w:eastAsia="Arial" w:hAnsi="Tahoma" w:cs="Tahoma"/>
          <w:color w:val="000000"/>
          <w:sz w:val="20"/>
          <w:szCs w:val="20"/>
        </w:rPr>
        <w:t xml:space="preserve"> aplicação de outras sanções previstas no contrato e na legislação, inclusive rescisão contratual, quando cabível;</w:t>
      </w:r>
    </w:p>
    <w:p w14:paraId="1C4CF82E" w14:textId="3719E52B" w:rsidR="000C10E1" w:rsidRPr="004F743E"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II – </w:t>
      </w:r>
      <w:proofErr w:type="gramStart"/>
      <w:r w:rsidRPr="004F743E">
        <w:rPr>
          <w:rFonts w:ascii="Tahoma" w:eastAsia="Arial" w:hAnsi="Tahoma" w:cs="Tahoma"/>
          <w:color w:val="000000"/>
          <w:sz w:val="20"/>
          <w:szCs w:val="20"/>
        </w:rPr>
        <w:t>a</w:t>
      </w:r>
      <w:proofErr w:type="gramEnd"/>
      <w:r w:rsidRPr="004F743E">
        <w:rPr>
          <w:rFonts w:ascii="Tahoma" w:eastAsia="Arial" w:hAnsi="Tahoma" w:cs="Tahoma"/>
          <w:color w:val="000000"/>
          <w:sz w:val="20"/>
          <w:szCs w:val="20"/>
        </w:rPr>
        <w:t xml:space="preserve"> obrigação de reparação integral dos danos causados à Administração;</w:t>
      </w:r>
      <w:r w:rsidRPr="004F743E">
        <w:rPr>
          <w:rFonts w:ascii="Tahoma" w:eastAsia="Arial" w:hAnsi="Tahoma" w:cs="Tahoma"/>
          <w:color w:val="000000"/>
          <w:sz w:val="20"/>
          <w:szCs w:val="20"/>
        </w:rPr>
        <w:br/>
        <w:t>III – eventual responsabilização civil e penal dos envolvidos.</w:t>
      </w:r>
    </w:p>
    <w:p w14:paraId="4FD9BD26" w14:textId="13E6871B" w:rsidR="000C10E1" w:rsidRDefault="000C10E1"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5.4.9 Sempre que possível, antes da aplicação de sanções mais gravosas, a Administração poderá, motivadamente, conceder prazo para que a contratada </w:t>
      </w:r>
      <w:r w:rsidRPr="004F743E">
        <w:rPr>
          <w:rFonts w:ascii="Tahoma" w:eastAsia="Arial" w:hAnsi="Tahoma" w:cs="Tahoma"/>
          <w:b/>
          <w:bCs/>
          <w:color w:val="000000"/>
          <w:sz w:val="20"/>
          <w:szCs w:val="20"/>
        </w:rPr>
        <w:t>corrija ou complemente</w:t>
      </w:r>
      <w:r w:rsidRPr="004F743E">
        <w:rPr>
          <w:rFonts w:ascii="Tahoma" w:eastAsia="Arial" w:hAnsi="Tahoma" w:cs="Tahoma"/>
          <w:color w:val="000000"/>
          <w:sz w:val="20"/>
          <w:szCs w:val="20"/>
        </w:rPr>
        <w:t> o Programa de Integridade, sem prejuízo da aplicação de advertência ou multa, quando coube</w:t>
      </w:r>
      <w:r w:rsidR="00A9710F">
        <w:rPr>
          <w:rFonts w:ascii="Tahoma" w:eastAsia="Arial" w:hAnsi="Tahoma" w:cs="Tahoma"/>
          <w:color w:val="000000"/>
          <w:sz w:val="20"/>
          <w:szCs w:val="20"/>
        </w:rPr>
        <w:t>.</w:t>
      </w:r>
    </w:p>
    <w:p w14:paraId="0137A9BF" w14:textId="3F911987" w:rsidR="00A9710F" w:rsidRPr="00A9710F" w:rsidRDefault="00A9710F" w:rsidP="00A9710F">
      <w:pPr>
        <w:pBdr>
          <w:top w:val="nil"/>
          <w:left w:val="nil"/>
          <w:bottom w:val="nil"/>
          <w:right w:val="nil"/>
          <w:between w:val="nil"/>
        </w:pBdr>
        <w:tabs>
          <w:tab w:val="left" w:pos="426"/>
        </w:tabs>
        <w:spacing w:beforeLines="80" w:before="192" w:afterLines="80" w:after="192" w:line="276" w:lineRule="auto"/>
        <w:ind w:left="347"/>
        <w:jc w:val="both"/>
        <w:rPr>
          <w:rFonts w:ascii="Tahoma" w:eastAsia="Arial" w:hAnsi="Tahoma" w:cs="Tahoma"/>
          <w:b/>
          <w:bCs/>
          <w:i/>
          <w:iCs/>
          <w:color w:val="000000"/>
          <w:sz w:val="18"/>
          <w:szCs w:val="18"/>
        </w:rPr>
      </w:pPr>
      <w:r w:rsidRPr="00A9710F">
        <w:rPr>
          <w:rFonts w:ascii="Tahoma" w:eastAsia="Arial" w:hAnsi="Tahoma" w:cs="Tahoma"/>
          <w:b/>
          <w:bCs/>
          <w:i/>
          <w:iCs/>
          <w:color w:val="000000"/>
          <w:sz w:val="18"/>
          <w:szCs w:val="18"/>
        </w:rPr>
        <w:t>NOTA: Embora a contratação esteja estimada em R$ 5.565.248,50, não se tratando, portanto, de hipótese de “grande vulto” nos termos da Lei nº 14.133/2021, estabelece-se, por proporcionalidade e como medida de governança e gestão de riscos, a obrigação de implementação de Programa de Integridade pela contratada, como condição de execução contratual. A medida se justifica pela complexidade e criticidade do objeto (contratação integrada para requalificação de unidade hospitalar, abrangendo elaboração dos projetos básico e executivo e execução das obras e serviços), que envolve múltiplas disciplinas técnicas, interfaces, projetos–execução, cadeia de fornecedores e riscos relevantes quanto a prazos, custos, segurança, continuidade assistencial e conformidade. O Programa de Integridade deverá ser compatível com o porte, a estrutura e a realidade operacional da contratada, contemplando, no mínimo, diretrizes internas de conduta, canais de comunicação/denúncia, procedimentos de prevenção e tratamento de irregularidades e ações de capacitação, sem configurar requisito prévio de habilitação e sem restrição indevida à competitividade, destinando-se a reforçar a transparência, o controle e a mitigação de riscos na execução.</w:t>
      </w:r>
    </w:p>
    <w:p w14:paraId="2F9CFD20" w14:textId="77777777" w:rsidR="00D05504" w:rsidRPr="004F743E" w:rsidRDefault="00004375" w:rsidP="00BB4A97">
      <w:pPr>
        <w:keepNext/>
        <w:keepLines/>
        <w:numPr>
          <w:ilvl w:val="1"/>
          <w:numId w:val="13"/>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bCs/>
          <w:color w:val="000000"/>
          <w:sz w:val="20"/>
          <w:szCs w:val="20"/>
        </w:rPr>
      </w:pPr>
      <w:r w:rsidRPr="004F743E">
        <w:rPr>
          <w:rFonts w:ascii="Tahoma" w:eastAsia="Arial" w:hAnsi="Tahoma" w:cs="Tahoma"/>
          <w:b/>
          <w:bCs/>
          <w:color w:val="000000"/>
          <w:sz w:val="20"/>
          <w:szCs w:val="20"/>
        </w:rPr>
        <w:t>Vistoria</w:t>
      </w:r>
    </w:p>
    <w:p w14:paraId="4884D721" w14:textId="56469D60"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color w:val="000000"/>
          <w:sz w:val="20"/>
          <w:szCs w:val="20"/>
        </w:rPr>
        <w:t>5.</w:t>
      </w:r>
      <w:r w:rsidR="00BF2514" w:rsidRPr="004F743E">
        <w:rPr>
          <w:rFonts w:ascii="Tahoma" w:eastAsia="Arial" w:hAnsi="Tahoma" w:cs="Tahoma"/>
          <w:color w:val="000000"/>
          <w:sz w:val="20"/>
          <w:szCs w:val="20"/>
        </w:rPr>
        <w:t>5</w:t>
      </w:r>
      <w:r w:rsidRPr="004F743E">
        <w:rPr>
          <w:rFonts w:ascii="Tahoma" w:eastAsia="Arial" w:hAnsi="Tahoma" w:cs="Tahoma"/>
          <w:color w:val="000000"/>
          <w:sz w:val="20"/>
          <w:szCs w:val="20"/>
        </w:rPr>
        <w:t>.1 A avaliação prévia do local de execução dos serviços é imp</w:t>
      </w:r>
      <w:r w:rsidRPr="004F743E">
        <w:rPr>
          <w:rFonts w:ascii="Tahoma" w:eastAsia="Arial" w:hAnsi="Tahoma" w:cs="Tahoma"/>
          <w:sz w:val="20"/>
          <w:szCs w:val="20"/>
        </w:rPr>
        <w:t>ortante</w:t>
      </w:r>
      <w:r w:rsidRPr="004F743E">
        <w:rPr>
          <w:rFonts w:ascii="Tahoma" w:eastAsia="Arial" w:hAnsi="Tahoma" w:cs="Tahoma"/>
          <w:color w:val="000000"/>
          <w:sz w:val="20"/>
          <w:szCs w:val="20"/>
        </w:rPr>
        <w:t xml:space="preserve"> para o conhecimento pleno das condições e peculiaridades do objeto a ser contratado, sendo facultado ao interessado o direito de realização de vistoria prévia, acompanhado por servidor</w:t>
      </w:r>
      <w:r w:rsidRPr="004F743E">
        <w:rPr>
          <w:rFonts w:ascii="Tahoma" w:eastAsia="Arial" w:hAnsi="Tahoma" w:cs="Tahoma"/>
          <w:sz w:val="20"/>
          <w:szCs w:val="20"/>
        </w:rPr>
        <w:t xml:space="preserve"> designado para esse fim, de segunda à sexta-feira, das 9 horas às 16 horas.</w:t>
      </w:r>
      <w:r w:rsidR="00BF2514" w:rsidRPr="004F743E">
        <w:rPr>
          <w:rFonts w:ascii="Tahoma" w:eastAsia="Arial" w:hAnsi="Tahoma" w:cs="Tahoma"/>
          <w:sz w:val="20"/>
          <w:szCs w:val="20"/>
        </w:rPr>
        <w:t xml:space="preserve"> </w:t>
      </w:r>
      <w:r w:rsidRPr="004F743E">
        <w:rPr>
          <w:rFonts w:ascii="Tahoma" w:eastAsia="Arial" w:hAnsi="Tahoma" w:cs="Tahoma"/>
          <w:sz w:val="20"/>
          <w:szCs w:val="20"/>
        </w:rPr>
        <w:t>Serão disponibilizados data e horário diferentes aos interessados em realizar a vistoria prévia, a qual poderá ser agendada através do e-mail: saudelaurodefreitasrecursos@gmail.com.</w:t>
      </w:r>
    </w:p>
    <w:p w14:paraId="01685DB5" w14:textId="77777777" w:rsidR="00D05504" w:rsidRPr="004F743E" w:rsidRDefault="00004375" w:rsidP="00BB4A97">
      <w:pPr>
        <w:numPr>
          <w:ilvl w:val="2"/>
          <w:numId w:val="13"/>
        </w:numPr>
        <w:pBdr>
          <w:top w:val="nil"/>
          <w:left w:val="nil"/>
          <w:bottom w:val="nil"/>
          <w:right w:val="nil"/>
          <w:between w:val="nil"/>
        </w:pBdr>
        <w:spacing w:beforeLines="80" w:before="192" w:afterLines="80" w:after="192" w:line="276" w:lineRule="auto"/>
        <w:ind w:left="0" w:firstLine="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14:paraId="1BDFA36D" w14:textId="77777777" w:rsidR="00D05504" w:rsidRPr="004F743E" w:rsidRDefault="00004375" w:rsidP="00BB4A97">
      <w:pPr>
        <w:numPr>
          <w:ilvl w:val="2"/>
          <w:numId w:val="13"/>
        </w:numPr>
        <w:pBdr>
          <w:top w:val="nil"/>
          <w:left w:val="nil"/>
          <w:bottom w:val="nil"/>
          <w:right w:val="nil"/>
          <w:between w:val="nil"/>
        </w:pBdr>
        <w:spacing w:beforeLines="80" w:before="192" w:afterLines="80" w:after="192" w:line="276" w:lineRule="auto"/>
        <w:ind w:left="0" w:firstLine="0"/>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Caso o licitante opte por não realizar a vistoria, deverá prestar declaração formal assinada pelo responsável técnico do licitante acerca do conhecimento pleno das condições e peculiaridades da contratação.</w:t>
      </w:r>
    </w:p>
    <w:p w14:paraId="6D8D48B0" w14:textId="77777777" w:rsidR="00D05504" w:rsidRPr="004F743E" w:rsidRDefault="00004375" w:rsidP="00BB4A97">
      <w:pPr>
        <w:numPr>
          <w:ilvl w:val="2"/>
          <w:numId w:val="13"/>
        </w:numPr>
        <w:pBdr>
          <w:top w:val="nil"/>
          <w:left w:val="nil"/>
          <w:bottom w:val="nil"/>
          <w:right w:val="nil"/>
          <w:between w:val="nil"/>
        </w:pBdr>
        <w:spacing w:beforeLines="80" w:before="192" w:afterLines="80" w:after="192" w:line="276" w:lineRule="auto"/>
        <w:ind w:left="0" w:firstLine="0"/>
        <w:jc w:val="both"/>
        <w:rPr>
          <w:rFonts w:ascii="Tahoma" w:eastAsia="Arial" w:hAnsi="Tahoma" w:cs="Tahoma"/>
          <w:color w:val="000000"/>
          <w:sz w:val="20"/>
          <w:szCs w:val="20"/>
        </w:rPr>
      </w:pPr>
      <w:r w:rsidRPr="004F743E">
        <w:rPr>
          <w:rFonts w:ascii="Tahoma" w:eastAsia="Arial" w:hAnsi="Tahoma" w:cs="Tahoma"/>
          <w:color w:val="000000"/>
          <w:sz w:val="20"/>
          <w:szCs w:val="20"/>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5A91B07A" w14:textId="77777777" w:rsidR="00D05504"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b/>
          <w:color w:val="000000"/>
          <w:sz w:val="20"/>
          <w:szCs w:val="20"/>
        </w:rPr>
        <w:t>MODELO DE EXECUÇÃO DO OBJETO</w:t>
      </w:r>
    </w:p>
    <w:p w14:paraId="222C2950" w14:textId="77777777" w:rsidR="00D05504" w:rsidRPr="004F743E" w:rsidRDefault="00004375" w:rsidP="00BB4A97">
      <w:pPr>
        <w:keepNext/>
        <w:keepLines/>
        <w:numPr>
          <w:ilvl w:val="1"/>
          <w:numId w:val="16"/>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Condições de execução</w:t>
      </w:r>
    </w:p>
    <w:p w14:paraId="1339B89C"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6.1.1 A execução do objeto seguirá a seguinte dinâmica:</w:t>
      </w:r>
    </w:p>
    <w:p w14:paraId="286BE448" w14:textId="77777777" w:rsidR="00D05504" w:rsidRPr="004F743E" w:rsidRDefault="00004375" w:rsidP="00BB4A97">
      <w:pPr>
        <w:numPr>
          <w:ilvl w:val="0"/>
          <w:numId w:val="17"/>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Início da execução do objeto: 05 dias após a assinatura DO CONTRATO; </w:t>
      </w:r>
    </w:p>
    <w:p w14:paraId="4E216D0E" w14:textId="77777777" w:rsidR="00D05504" w:rsidRPr="004F743E" w:rsidRDefault="00004375" w:rsidP="00BB4A97">
      <w:pPr>
        <w:numPr>
          <w:ilvl w:val="0"/>
          <w:numId w:val="17"/>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proofErr w:type="spellStart"/>
      <w:r w:rsidRPr="004F743E">
        <w:rPr>
          <w:rFonts w:ascii="Tahoma" w:eastAsia="Arial" w:hAnsi="Tahoma" w:cs="Tahoma"/>
          <w:color w:val="000000"/>
          <w:sz w:val="20"/>
          <w:szCs w:val="20"/>
        </w:rPr>
        <w:t>Freqüência</w:t>
      </w:r>
      <w:proofErr w:type="spellEnd"/>
      <w:r w:rsidRPr="004F743E">
        <w:rPr>
          <w:rFonts w:ascii="Tahoma" w:eastAsia="Arial" w:hAnsi="Tahoma" w:cs="Tahoma"/>
          <w:color w:val="000000"/>
          <w:sz w:val="20"/>
          <w:szCs w:val="20"/>
        </w:rPr>
        <w:t xml:space="preserve"> e periodicidade de execução do trabalho: As obras devem ser realizadas diariamente, de segunda a sexta feira das 08:00 às 17:00 horas e aos sábados </w:t>
      </w:r>
      <w:proofErr w:type="gramStart"/>
      <w:r w:rsidRPr="004F743E">
        <w:rPr>
          <w:rFonts w:ascii="Tahoma" w:eastAsia="Arial" w:hAnsi="Tahoma" w:cs="Tahoma"/>
          <w:color w:val="000000"/>
          <w:sz w:val="20"/>
          <w:szCs w:val="20"/>
        </w:rPr>
        <w:t>de</w:t>
      </w:r>
      <w:proofErr w:type="gramEnd"/>
      <w:r w:rsidRPr="004F743E">
        <w:rPr>
          <w:rFonts w:ascii="Tahoma" w:eastAsia="Arial" w:hAnsi="Tahoma" w:cs="Tahoma"/>
          <w:color w:val="000000"/>
          <w:sz w:val="20"/>
          <w:szCs w:val="20"/>
        </w:rPr>
        <w:t xml:space="preserve"> 08:00 às 12 horas, com possibilidade de ampliação de horário com autorização prévia da CONTRATANTE.</w:t>
      </w:r>
    </w:p>
    <w:p w14:paraId="73619630" w14:textId="77777777" w:rsidR="00D05504" w:rsidRPr="004F743E" w:rsidRDefault="00004375" w:rsidP="00BB4A97">
      <w:pPr>
        <w:numPr>
          <w:ilvl w:val="0"/>
          <w:numId w:val="17"/>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Cronograma de realização dos serviços: Os serviços terão medição realizada de 30 em 30 dias, de acordo com meta estabelecida em cronograma de trabalho.</w:t>
      </w:r>
    </w:p>
    <w:p w14:paraId="01CBA30E" w14:textId="77777777" w:rsidR="00D05504" w:rsidRPr="004F743E" w:rsidRDefault="00004375" w:rsidP="00BB4A97">
      <w:pPr>
        <w:keepNext/>
        <w:keepLines/>
        <w:numPr>
          <w:ilvl w:val="1"/>
          <w:numId w:val="16"/>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Local e horário da prestação dos serviços</w:t>
      </w:r>
    </w:p>
    <w:p w14:paraId="7C3B0E0C"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6.2.1 Os serviços serão prestados n</w:t>
      </w:r>
      <w:r w:rsidRPr="004F743E">
        <w:rPr>
          <w:rFonts w:ascii="Tahoma" w:eastAsia="Arial" w:hAnsi="Tahoma" w:cs="Tahoma"/>
          <w:sz w:val="20"/>
          <w:szCs w:val="20"/>
        </w:rPr>
        <w:t xml:space="preserve">o Hospital Jorge Novis situado à Av. Fortaleza, s/n, Largo do Caranguejo, Itinga, Lauro de Freitas-BA.  </w:t>
      </w:r>
      <w:r w:rsidRPr="004F743E">
        <w:rPr>
          <w:rFonts w:ascii="Tahoma" w:eastAsia="Arial" w:hAnsi="Tahoma" w:cs="Tahoma"/>
          <w:color w:val="000000"/>
          <w:sz w:val="20"/>
          <w:szCs w:val="20"/>
        </w:rPr>
        <w:t xml:space="preserve">COORDENADAS EXATAS: </w:t>
      </w:r>
      <w:hyperlink r:id="rId8">
        <w:r w:rsidR="00D05504" w:rsidRPr="004F743E">
          <w:rPr>
            <w:rFonts w:ascii="Tahoma" w:eastAsia="Arial" w:hAnsi="Tahoma" w:cs="Tahoma"/>
            <w:color w:val="1155CC"/>
            <w:sz w:val="20"/>
            <w:szCs w:val="20"/>
            <w:u w:val="single"/>
          </w:rPr>
          <w:t>https://maps.app.goo.gl/HesVTNLT3siQQ9qX8</w:t>
        </w:r>
      </w:hyperlink>
    </w:p>
    <w:p w14:paraId="38BDA8B5" w14:textId="77777777" w:rsidR="00D05504" w:rsidRPr="004F743E" w:rsidRDefault="00004375" w:rsidP="00BB4A97">
      <w:pPr>
        <w:numPr>
          <w:ilvl w:val="2"/>
          <w:numId w:val="18"/>
        </w:numPr>
        <w:pBdr>
          <w:top w:val="nil"/>
          <w:left w:val="nil"/>
          <w:bottom w:val="nil"/>
          <w:right w:val="nil"/>
          <w:between w:val="nil"/>
        </w:pBdr>
        <w:spacing w:beforeLines="80" w:before="192" w:afterLines="80" w:after="192" w:line="276" w:lineRule="auto"/>
        <w:ind w:left="0" w:firstLine="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Os serviços serão prestados no seguinte horário: 08:00 às 17:00 horas de segunda à sexta e </w:t>
      </w:r>
      <w:proofErr w:type="gramStart"/>
      <w:r w:rsidRPr="004F743E">
        <w:rPr>
          <w:rFonts w:ascii="Tahoma" w:eastAsia="Arial" w:hAnsi="Tahoma" w:cs="Tahoma"/>
          <w:color w:val="000000"/>
          <w:sz w:val="20"/>
          <w:szCs w:val="20"/>
        </w:rPr>
        <w:t>de</w:t>
      </w:r>
      <w:proofErr w:type="gramEnd"/>
      <w:r w:rsidRPr="004F743E">
        <w:rPr>
          <w:rFonts w:ascii="Tahoma" w:eastAsia="Arial" w:hAnsi="Tahoma" w:cs="Tahoma"/>
          <w:color w:val="000000"/>
          <w:sz w:val="20"/>
          <w:szCs w:val="20"/>
        </w:rPr>
        <w:t xml:space="preserve"> 8:00 às 12:00 </w:t>
      </w:r>
      <w:r w:rsidRPr="004F743E">
        <w:rPr>
          <w:rFonts w:ascii="Tahoma" w:eastAsia="Arial" w:hAnsi="Tahoma" w:cs="Tahoma"/>
          <w:sz w:val="20"/>
          <w:szCs w:val="20"/>
        </w:rPr>
        <w:t>h</w:t>
      </w:r>
      <w:r w:rsidRPr="004F743E">
        <w:rPr>
          <w:rFonts w:ascii="Tahoma" w:eastAsia="Arial" w:hAnsi="Tahoma" w:cs="Tahoma"/>
          <w:color w:val="000000"/>
          <w:sz w:val="20"/>
          <w:szCs w:val="20"/>
        </w:rPr>
        <w:t>oras de sábado. Podendo ser executado em dia e horário alternativo, com prévia autorização.</w:t>
      </w:r>
    </w:p>
    <w:p w14:paraId="519E60B5" w14:textId="77777777" w:rsidR="00D05504" w:rsidRPr="004F743E" w:rsidRDefault="00004375" w:rsidP="00BB4A97">
      <w:pPr>
        <w:keepNext/>
        <w:keepLines/>
        <w:numPr>
          <w:ilvl w:val="1"/>
          <w:numId w:val="18"/>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Materiais a serem disponibilizados</w:t>
      </w:r>
    </w:p>
    <w:p w14:paraId="43F0E2E2"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6.3.1 Para a perfeita execução dos serviços, a Contratada deverá disponibilizar os materiais, equipamentos, ferramentas e utensílios necessários, nas quantidades estimadas e qualidades a seguir estabelecidas, promovendo sua substituição quando necessário: Os materiais a serem utilizados devem seguir rigorosamente os memoriais descritivos e especificações técnica;</w:t>
      </w:r>
    </w:p>
    <w:p w14:paraId="0B3CDDDC" w14:textId="77777777" w:rsidR="00D05504" w:rsidRPr="004F743E" w:rsidRDefault="00004375" w:rsidP="00BB4A97">
      <w:pPr>
        <w:keepNext/>
        <w:keepLines/>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6.4 Especificação da garantia do serviço (art. 40, §1º, inciso III, da Lei nº 14.133, de 2021)</w:t>
      </w:r>
    </w:p>
    <w:p w14:paraId="3917E7A9" w14:textId="77777777" w:rsidR="00D05504" w:rsidRPr="004F743E" w:rsidRDefault="00004375" w:rsidP="00BB4A97">
      <w:pPr>
        <w:numPr>
          <w:ilvl w:val="2"/>
          <w:numId w:val="19"/>
        </w:numPr>
        <w:pBdr>
          <w:top w:val="nil"/>
          <w:left w:val="nil"/>
          <w:bottom w:val="nil"/>
          <w:right w:val="nil"/>
          <w:between w:val="nil"/>
        </w:pBdr>
        <w:spacing w:beforeLines="80" w:before="192" w:afterLines="80" w:after="192" w:line="276" w:lineRule="auto"/>
        <w:ind w:left="0" w:firstLine="0"/>
        <w:jc w:val="both"/>
        <w:rPr>
          <w:rFonts w:ascii="Tahoma" w:eastAsia="Arial" w:hAnsi="Tahoma" w:cs="Tahoma"/>
          <w:color w:val="000000"/>
          <w:sz w:val="20"/>
          <w:szCs w:val="20"/>
        </w:rPr>
      </w:pPr>
      <w:r w:rsidRPr="004F743E">
        <w:rPr>
          <w:rFonts w:ascii="Tahoma" w:eastAsia="Arial" w:hAnsi="Tahoma" w:cs="Tahoma"/>
          <w:color w:val="000000"/>
          <w:sz w:val="20"/>
          <w:szCs w:val="20"/>
        </w:rPr>
        <w:t>O prazo de garantia contratual dos serviços, complementar à garantia legal, será de 12 (doze) meses, contado a partir do primeiro dia útil subsequente à data do recebimento definitivo do objeto.</w:t>
      </w:r>
    </w:p>
    <w:p w14:paraId="746A6D8B" w14:textId="77777777" w:rsidR="00D05504" w:rsidRPr="004F743E" w:rsidRDefault="00004375" w:rsidP="00BB4A97">
      <w:pPr>
        <w:keepNext/>
        <w:keepLines/>
        <w:numPr>
          <w:ilvl w:val="1"/>
          <w:numId w:val="19"/>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Procedimentos de transição e finalização do contrato</w:t>
      </w:r>
    </w:p>
    <w:p w14:paraId="31F96F20" w14:textId="77777777" w:rsidR="00D05504" w:rsidRPr="004F743E" w:rsidRDefault="00004375" w:rsidP="00BB4A97">
      <w:pPr>
        <w:numPr>
          <w:ilvl w:val="2"/>
          <w:numId w:val="19"/>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Não serão necessários procedimentos de transição e finalização do contrato devido às características do objeto.</w:t>
      </w:r>
    </w:p>
    <w:p w14:paraId="3F757115" w14:textId="77777777" w:rsidR="00D05504"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ind w:left="0" w:firstLine="0"/>
        <w:jc w:val="both"/>
        <w:rPr>
          <w:rFonts w:ascii="Tahoma" w:eastAsia="Arial" w:hAnsi="Tahoma" w:cs="Tahoma"/>
          <w:color w:val="000000"/>
          <w:sz w:val="20"/>
          <w:szCs w:val="20"/>
        </w:rPr>
      </w:pPr>
      <w:r w:rsidRPr="004F743E">
        <w:rPr>
          <w:rFonts w:ascii="Tahoma" w:eastAsia="Arial" w:hAnsi="Tahoma" w:cs="Tahoma"/>
          <w:b/>
          <w:color w:val="000000"/>
          <w:sz w:val="20"/>
          <w:szCs w:val="20"/>
        </w:rPr>
        <w:t>MODELO DE GESTÃO DO CONTRATO</w:t>
      </w:r>
    </w:p>
    <w:p w14:paraId="177FFFBC"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O contrato deverá ser executado fielmente pelas partes, de acordo com as cláusulas avençadas e as normas da </w:t>
      </w:r>
      <w:hyperlink r:id="rId9">
        <w:r w:rsidR="00D05504" w:rsidRPr="004F743E">
          <w:rPr>
            <w:rFonts w:ascii="Tahoma" w:eastAsia="Arial" w:hAnsi="Tahoma" w:cs="Tahoma"/>
            <w:color w:val="000080"/>
            <w:sz w:val="20"/>
            <w:szCs w:val="20"/>
            <w:u w:val="single"/>
          </w:rPr>
          <w:t>Lei nº 14.133, de 2021</w:t>
        </w:r>
      </w:hyperlink>
      <w:r w:rsidRPr="004F743E">
        <w:rPr>
          <w:rFonts w:ascii="Tahoma" w:eastAsia="Arial" w:hAnsi="Tahoma" w:cs="Tahoma"/>
          <w:color w:val="000000"/>
          <w:sz w:val="20"/>
          <w:szCs w:val="20"/>
        </w:rPr>
        <w:t xml:space="preserve">, e cada parte responderá pelas </w:t>
      </w:r>
      <w:r w:rsidRPr="004F743E">
        <w:rPr>
          <w:rFonts w:ascii="Tahoma" w:eastAsia="Arial" w:hAnsi="Tahoma" w:cs="Tahoma"/>
          <w:sz w:val="20"/>
          <w:szCs w:val="20"/>
        </w:rPr>
        <w:t>consequências</w:t>
      </w:r>
      <w:r w:rsidRPr="004F743E">
        <w:rPr>
          <w:rFonts w:ascii="Tahoma" w:eastAsia="Arial" w:hAnsi="Tahoma" w:cs="Tahoma"/>
          <w:color w:val="000000"/>
          <w:sz w:val="20"/>
          <w:szCs w:val="20"/>
        </w:rPr>
        <w:t xml:space="preserve"> de sua inexecução total ou parcial.</w:t>
      </w:r>
    </w:p>
    <w:p w14:paraId="24827F41"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Em caso de impedimento, ordem de paralisação ou suspensão do contrato, o cronograma de execução será prorrogado automaticamente pelo tempo correspondente, anotadas tais circunstâncias mediante simples apostila.</w:t>
      </w:r>
    </w:p>
    <w:p w14:paraId="3D589DAE"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As comunicações entre o órgão ou entidade e a contratada devem ser realizadas por escrito sempre que o ato exigir tal formalidade, admitindo-se o uso de mensagem eletrônica para esse fim.</w:t>
      </w:r>
    </w:p>
    <w:p w14:paraId="0BA5F77A"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O órgão ou entidade poderá convocar representante da empresa para adoção de providências que devam ser cumpridas de imediato.</w:t>
      </w:r>
    </w:p>
    <w:p w14:paraId="7913BFEF"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5B73202" w14:textId="77777777" w:rsidR="00D05504" w:rsidRPr="004F743E" w:rsidRDefault="00004375" w:rsidP="00BB4A97">
      <w:pPr>
        <w:pBdr>
          <w:top w:val="nil"/>
          <w:left w:val="nil"/>
          <w:bottom w:val="nil"/>
          <w:right w:val="nil"/>
          <w:between w:val="nil"/>
        </w:pBdr>
        <w:spacing w:beforeLines="80" w:before="192" w:afterLines="80" w:after="192" w:line="276" w:lineRule="auto"/>
        <w:ind w:left="-6"/>
        <w:jc w:val="both"/>
        <w:rPr>
          <w:rFonts w:ascii="Tahoma" w:eastAsia="Arial" w:hAnsi="Tahoma" w:cs="Tahoma"/>
          <w:b/>
          <w:color w:val="000000"/>
          <w:sz w:val="20"/>
          <w:szCs w:val="20"/>
        </w:rPr>
      </w:pPr>
      <w:r w:rsidRPr="004F743E">
        <w:rPr>
          <w:rFonts w:ascii="Tahoma" w:eastAsia="Arial" w:hAnsi="Tahoma" w:cs="Tahoma"/>
          <w:b/>
          <w:color w:val="000000"/>
          <w:sz w:val="20"/>
          <w:szCs w:val="20"/>
        </w:rPr>
        <w:t>Preposto</w:t>
      </w:r>
    </w:p>
    <w:p w14:paraId="600625B4"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A Contratada designará formalmente o preposto da empresa, antes do início da prestação dos serviços, indicando no instrumento os poderes e deveres em relação à execução do objeto contratado.</w:t>
      </w:r>
    </w:p>
    <w:p w14:paraId="66E16652"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A Contratada deverá manter preposto da empresa no local da execução do objeto durante o todo período contratual.</w:t>
      </w:r>
    </w:p>
    <w:p w14:paraId="701F4242"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A Contratante poderá recusar, desde que justificadamente, a indicação ou a manutenção do preposto da empresa, hipótese em que a Contratada designará outro para o exercício da atividade.</w:t>
      </w:r>
    </w:p>
    <w:p w14:paraId="4E0400F5" w14:textId="77777777" w:rsidR="009A2CAC" w:rsidRDefault="00004375" w:rsidP="00BB4A97">
      <w:pPr>
        <w:pBdr>
          <w:top w:val="nil"/>
          <w:left w:val="nil"/>
          <w:bottom w:val="nil"/>
          <w:right w:val="nil"/>
          <w:between w:val="nil"/>
        </w:pBdr>
        <w:spacing w:beforeLines="80" w:before="192" w:afterLines="80" w:after="192" w:line="276" w:lineRule="auto"/>
        <w:ind w:left="-6"/>
        <w:jc w:val="both"/>
        <w:rPr>
          <w:rFonts w:ascii="Tahoma" w:eastAsia="Arial" w:hAnsi="Tahoma" w:cs="Tahoma"/>
          <w:b/>
          <w:color w:val="000000"/>
          <w:sz w:val="20"/>
          <w:szCs w:val="20"/>
        </w:rPr>
      </w:pPr>
      <w:r w:rsidRPr="004F743E">
        <w:rPr>
          <w:rFonts w:ascii="Tahoma" w:eastAsia="Arial" w:hAnsi="Tahoma" w:cs="Tahoma"/>
          <w:b/>
          <w:color w:val="000000"/>
          <w:sz w:val="20"/>
          <w:szCs w:val="20"/>
        </w:rPr>
        <w:t>Fiscalização</w:t>
      </w:r>
    </w:p>
    <w:p w14:paraId="33253503" w14:textId="3A6BA0C9" w:rsidR="00D05504" w:rsidRPr="004F743E" w:rsidRDefault="00004375" w:rsidP="00BB4A97">
      <w:pPr>
        <w:pBdr>
          <w:top w:val="nil"/>
          <w:left w:val="nil"/>
          <w:bottom w:val="nil"/>
          <w:right w:val="nil"/>
          <w:between w:val="nil"/>
        </w:pBdr>
        <w:spacing w:beforeLines="80" w:before="192" w:afterLines="80" w:after="192" w:line="276" w:lineRule="auto"/>
        <w:ind w:left="-6"/>
        <w:jc w:val="both"/>
        <w:rPr>
          <w:rFonts w:ascii="Tahoma" w:eastAsia="Arial" w:hAnsi="Tahoma" w:cs="Tahoma"/>
          <w:color w:val="000000"/>
          <w:sz w:val="20"/>
          <w:szCs w:val="20"/>
        </w:rPr>
      </w:pPr>
      <w:r w:rsidRPr="004F743E">
        <w:rPr>
          <w:rFonts w:ascii="Tahoma" w:eastAsia="Arial" w:hAnsi="Tahoma" w:cs="Tahoma"/>
          <w:color w:val="000000"/>
          <w:sz w:val="20"/>
          <w:szCs w:val="20"/>
        </w:rPr>
        <w:t>7.9</w:t>
      </w:r>
      <w:r w:rsidRPr="004F743E">
        <w:rPr>
          <w:rFonts w:ascii="Tahoma" w:eastAsia="Arial" w:hAnsi="Tahoma" w:cs="Tahoma"/>
          <w:b/>
          <w:color w:val="000000"/>
          <w:sz w:val="20"/>
          <w:szCs w:val="20"/>
        </w:rPr>
        <w:t xml:space="preserve"> </w:t>
      </w:r>
      <w:r w:rsidRPr="004F743E">
        <w:rPr>
          <w:rFonts w:ascii="Tahoma" w:eastAsia="Arial" w:hAnsi="Tahoma" w:cs="Tahoma"/>
          <w:color w:val="000000"/>
          <w:sz w:val="20"/>
          <w:szCs w:val="20"/>
        </w:rPr>
        <w:t>A execução do contrato deverá ser acompanhada e fiscalizada pelo(s) fiscal(</w:t>
      </w:r>
      <w:proofErr w:type="spellStart"/>
      <w:r w:rsidRPr="004F743E">
        <w:rPr>
          <w:rFonts w:ascii="Tahoma" w:eastAsia="Arial" w:hAnsi="Tahoma" w:cs="Tahoma"/>
          <w:color w:val="000000"/>
          <w:sz w:val="20"/>
          <w:szCs w:val="20"/>
        </w:rPr>
        <w:t>is</w:t>
      </w:r>
      <w:proofErr w:type="spellEnd"/>
      <w:r w:rsidRPr="004F743E">
        <w:rPr>
          <w:rFonts w:ascii="Tahoma" w:eastAsia="Arial" w:hAnsi="Tahoma" w:cs="Tahoma"/>
          <w:color w:val="000000"/>
          <w:sz w:val="20"/>
          <w:szCs w:val="20"/>
        </w:rPr>
        <w:t>) do contrato, ou pelos respectivos substitutos (Lei nº 14.133, de 2021, art. 117, caput).</w:t>
      </w:r>
    </w:p>
    <w:p w14:paraId="356F88D6"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O fiscal técnico do contrato acompanhará a execução do contrato, para que sejam cumpridas todas as condições estabelecidas no contrato, de modo a assegurar os melhores resultados para a Administração. (Decreto nº 11.246, de 2022, art. 22, VI);</w:t>
      </w:r>
    </w:p>
    <w:p w14:paraId="12E13DEE"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6611922D"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Identificada qualquer inexatidão ou irregularidade, o fiscal técnico do contrato emitirá notificações para a correção da execução do contrato, determinando prazo para a correção. (Decreto nº 11.246, de 2022, art. 22, III); </w:t>
      </w:r>
    </w:p>
    <w:p w14:paraId="4B21A376"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O fiscal técnico do contrato informará ao gestor do contrato, em tempo hábil, a situação que demandar decisão ou adoção de medidas que ultrapassem sua competência, para que adote as medidas necessárias e saneadoras, se for o caso. (Decreto nº 11.246, de 2022, art. 22, IV);</w:t>
      </w:r>
    </w:p>
    <w:p w14:paraId="6488BAE9"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No caso de ocorrências que possam inviabilizar a execução do contrato nas datas aprazadas, o fiscal técnico do contrato comunicará o fato imediatamente ao gestor do contrato. (Decreto nº 11.246, de 2022, art. 22, V);</w:t>
      </w:r>
    </w:p>
    <w:p w14:paraId="6C775CB3"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O fiscal técnico do contrato comunicará ao gestor do contrato, em tempo hábil, o término do contrato sob sua responsabilidade, com vistas à tempestiva renovação ou à prorrogação contratual (Decreto nº 11.246, de 2022, art. 22, VII).</w:t>
      </w:r>
    </w:p>
    <w:p w14:paraId="4DB9553C" w14:textId="77777777" w:rsidR="00D05504" w:rsidRPr="004F743E" w:rsidRDefault="00004375" w:rsidP="00BB4A97">
      <w:pPr>
        <w:pBdr>
          <w:top w:val="nil"/>
          <w:left w:val="nil"/>
          <w:bottom w:val="nil"/>
          <w:right w:val="nil"/>
          <w:between w:val="nil"/>
        </w:pBdr>
        <w:spacing w:beforeLines="80" w:before="192" w:afterLines="80" w:after="192" w:line="276" w:lineRule="auto"/>
        <w:ind w:left="-39"/>
        <w:jc w:val="both"/>
        <w:rPr>
          <w:rFonts w:ascii="Tahoma" w:eastAsia="Arial" w:hAnsi="Tahoma" w:cs="Tahoma"/>
          <w:b/>
          <w:color w:val="000000"/>
          <w:sz w:val="20"/>
          <w:szCs w:val="20"/>
        </w:rPr>
      </w:pPr>
      <w:r w:rsidRPr="004F743E">
        <w:rPr>
          <w:rFonts w:ascii="Tahoma" w:eastAsia="Arial" w:hAnsi="Tahoma" w:cs="Tahoma"/>
          <w:b/>
          <w:color w:val="000000"/>
          <w:sz w:val="20"/>
          <w:szCs w:val="20"/>
        </w:rPr>
        <w:t>Fiscalização Administrativa</w:t>
      </w:r>
    </w:p>
    <w:p w14:paraId="5A07ACB9"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737A0B72"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2C16173E"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Deverá ainda observar os seguintes normativos:</w:t>
      </w:r>
    </w:p>
    <w:p w14:paraId="66865EB1"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Lei nº 14.133, de 1º de abril de 2021, Lei de Licitações e Contratos Administrativos;  </w:t>
      </w:r>
    </w:p>
    <w:p w14:paraId="4BEB9CD8"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Lei nº 5.194, de 24 de dezembro 1966, que regula o exercício das profissões de Engenharia e dá outras providências; </w:t>
      </w:r>
    </w:p>
    <w:p w14:paraId="28ECDD91"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Lei nº 12.378/2010 regula o exercício da Arquitetura e cria o Conselho de Arquitetura e Urbanismo do Brasil (CAU/BR) e das Unidades da Federação (CAU/UF); </w:t>
      </w:r>
    </w:p>
    <w:p w14:paraId="21FCC803"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14:paraId="7991E7BD"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ind w:right="-426"/>
        <w:jc w:val="both"/>
        <w:rPr>
          <w:rFonts w:ascii="Tahoma" w:eastAsia="Arial" w:hAnsi="Tahoma" w:cs="Tahoma"/>
          <w:color w:val="000000"/>
          <w:sz w:val="20"/>
          <w:szCs w:val="20"/>
        </w:rPr>
      </w:pPr>
      <w:r w:rsidRPr="004F743E">
        <w:rPr>
          <w:rFonts w:ascii="Tahoma" w:eastAsia="Arial" w:hAnsi="Tahoma" w:cs="Tahoma"/>
          <w:color w:val="000000"/>
          <w:sz w:val="20"/>
          <w:szCs w:val="20"/>
        </w:rPr>
        <w:t>Portaria GM/MS nº 1.604, de 18 de outubro de 2023, que institui a Política Nacional de Atenção Especializada em Saúde (PNAES) no âmbito do SUS.</w:t>
      </w:r>
    </w:p>
    <w:p w14:paraId="6D7436E4"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RDC 63/2011 ANVISA - Requisitos de Boas Práticas de Funcionamento para os Serviços de Saúde. </w:t>
      </w:r>
    </w:p>
    <w:p w14:paraId="1E6AC523"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RDC 222/2018 ANVISA - Regulamenta as Boas Práticas de Gerenciamento dos Resíduos de Serviços de Saúde </w:t>
      </w:r>
    </w:p>
    <w:p w14:paraId="01199062"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RDC 36/2013 ANVISA - Institui ações para a segurança do paciente em serviços de saúde. </w:t>
      </w:r>
    </w:p>
    <w:p w14:paraId="4CC4A9B6"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RDC 15/2012 ANVISA – Requisitos de boas práticas para o processamento de produtos para saúde. </w:t>
      </w:r>
    </w:p>
    <w:p w14:paraId="2FAF881B"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RDC Nº 611/2022, ANVISA- Estabelece os requisitos sanitários para a organização e o funcionamento de serviços de radiologia diagnóstica ou intervencionista e regulamenta o controle das exposições médicas, ocupacionais e do público decorrentes do uso de tecnologias radiológicas diagnósticas ou intervencionistas, e demais Normas como as NBR/ABNT. </w:t>
      </w:r>
    </w:p>
    <w:p w14:paraId="7C0542B4"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RDC 197/2017 - Requisitos mínimos para o funcionamento dos serviços de vacinação humana. </w:t>
      </w:r>
    </w:p>
    <w:p w14:paraId="70DCFDDB"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RDC 50/2002 - Regulamento Técnico para planejamento, programação, elaboração e avaliação de projetos físicos de estabelecimentos assistenciais de saúde.</w:t>
      </w:r>
    </w:p>
    <w:p w14:paraId="6903AE2C"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 xml:space="preserve">Resolução Conama nº 307, de 05 de julho de 2002, que estabelece diretrizes, critérios e procedimentos para a gestão dos resíduos da construção civil. </w:t>
      </w:r>
    </w:p>
    <w:p w14:paraId="4D3DB250"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Resolução Conama nº 358/2005 – Tratamento e a disposição final dos resíduos dos serviços de saúde. </w:t>
      </w:r>
    </w:p>
    <w:p w14:paraId="52EE8938"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ABNT NBR 9050/2020 - Acessibilidade a edificações, mobiliário, espaços e equipamentos urbanos </w:t>
      </w:r>
    </w:p>
    <w:p w14:paraId="2413013D"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ABNT NBR 12.188/2016 – Sistema centralizados de suprimentos de gases medicinais, de gases para dispositivos médicos e de vácuo para uso em estabelecimentos de saúde. </w:t>
      </w:r>
    </w:p>
    <w:p w14:paraId="0823371D" w14:textId="77777777" w:rsidR="00D05504" w:rsidRPr="004F743E" w:rsidRDefault="00004375" w:rsidP="00BB4A97">
      <w:pPr>
        <w:numPr>
          <w:ilvl w:val="0"/>
          <w:numId w:val="3"/>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ABNT NBR 7256/2016 – Tratamento de ar em Estabelecimento Assistencial de Saúde (EAS) – Requisitos para projetos e execução das instalações.</w:t>
      </w:r>
    </w:p>
    <w:p w14:paraId="6305DE3F"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Gestor do contrato</w:t>
      </w:r>
    </w:p>
    <w:p w14:paraId="732BF179"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77DB9FF2"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14:paraId="3F9403D2"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14:paraId="2C636156"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w:t>
      </w:r>
    </w:p>
    <w:p w14:paraId="7B99F61B"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5C837027"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39727C3C" w14:textId="77777777" w:rsidR="00D05504" w:rsidRPr="004F743E" w:rsidRDefault="00004375" w:rsidP="00BB4A97">
      <w:pPr>
        <w:numPr>
          <w:ilvl w:val="1"/>
          <w:numId w:val="2"/>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O gestor do contrato deverá enviar a documentação pertinente ao setor de contratos para a formalização dos procedimentos de liquidação e pagamento, no valor dimensionado pela fiscalização e gestão nos termos do contrato.</w:t>
      </w:r>
    </w:p>
    <w:p w14:paraId="50C1C02D" w14:textId="77777777" w:rsidR="00D05504"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b/>
          <w:color w:val="000000"/>
          <w:sz w:val="20"/>
          <w:szCs w:val="20"/>
        </w:rPr>
        <w:t>CRITÉRIOS DE MEDIÇÃO E PAGAMENTO</w:t>
      </w:r>
    </w:p>
    <w:p w14:paraId="33F65CAF"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709" w:hanging="567"/>
        <w:jc w:val="both"/>
        <w:rPr>
          <w:rFonts w:ascii="Tahoma" w:eastAsia="Arial" w:hAnsi="Tahoma" w:cs="Tahoma"/>
          <w:color w:val="000000"/>
          <w:sz w:val="20"/>
          <w:szCs w:val="20"/>
        </w:rPr>
      </w:pPr>
      <w:r w:rsidRPr="004F743E">
        <w:rPr>
          <w:rFonts w:ascii="Tahoma" w:eastAsia="Arial" w:hAnsi="Tahoma" w:cs="Tahoma"/>
          <w:color w:val="000000"/>
          <w:sz w:val="20"/>
          <w:szCs w:val="20"/>
        </w:rPr>
        <w:t>A avaliação da execução do objeto utilizará os critérios do disposto neste item:</w:t>
      </w:r>
    </w:p>
    <w:p w14:paraId="0D4E735A"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709" w:hanging="567"/>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Será indicada a retenção ou glosa no pagamento, proporcional à irregularidade</w:t>
      </w:r>
      <w:r w:rsidRPr="004F743E">
        <w:rPr>
          <w:rFonts w:ascii="Tahoma" w:eastAsia="Arial" w:hAnsi="Tahoma" w:cs="Tahoma"/>
          <w:sz w:val="20"/>
          <w:szCs w:val="20"/>
        </w:rPr>
        <w:t xml:space="preserve"> </w:t>
      </w:r>
      <w:r w:rsidRPr="004F743E">
        <w:rPr>
          <w:rFonts w:ascii="Tahoma" w:eastAsia="Arial" w:hAnsi="Tahoma" w:cs="Tahoma"/>
          <w:color w:val="000000"/>
          <w:sz w:val="20"/>
          <w:szCs w:val="20"/>
        </w:rPr>
        <w:t>verificada, sem prejuízo das sanções cabíveis, caso se constate que a Contratada:</w:t>
      </w:r>
    </w:p>
    <w:p w14:paraId="15AC0C01" w14:textId="77777777" w:rsidR="00D05504" w:rsidRPr="004F743E" w:rsidRDefault="00004375" w:rsidP="00BB4A97">
      <w:pPr>
        <w:numPr>
          <w:ilvl w:val="2"/>
          <w:numId w:val="14"/>
        </w:numPr>
        <w:pBdr>
          <w:top w:val="nil"/>
          <w:left w:val="nil"/>
          <w:bottom w:val="nil"/>
          <w:right w:val="nil"/>
          <w:between w:val="nil"/>
        </w:pBdr>
        <w:spacing w:beforeLines="80" w:before="192" w:afterLines="80" w:after="192" w:line="276" w:lineRule="auto"/>
        <w:ind w:left="1560" w:firstLine="0"/>
        <w:jc w:val="both"/>
        <w:rPr>
          <w:rFonts w:ascii="Tahoma" w:eastAsia="Arial" w:hAnsi="Tahoma" w:cs="Tahoma"/>
          <w:color w:val="000000"/>
          <w:sz w:val="20"/>
          <w:szCs w:val="20"/>
        </w:rPr>
      </w:pPr>
      <w:r w:rsidRPr="004F743E">
        <w:rPr>
          <w:rFonts w:ascii="Tahoma" w:eastAsia="Arial" w:hAnsi="Tahoma" w:cs="Tahoma"/>
          <w:color w:val="000000"/>
          <w:sz w:val="20"/>
          <w:szCs w:val="20"/>
        </w:rPr>
        <w:t>não produzir os resultados acordados,</w:t>
      </w:r>
    </w:p>
    <w:p w14:paraId="045540B5" w14:textId="77777777" w:rsidR="00D05504" w:rsidRPr="004F743E" w:rsidRDefault="00004375" w:rsidP="00BB4A97">
      <w:pPr>
        <w:numPr>
          <w:ilvl w:val="2"/>
          <w:numId w:val="14"/>
        </w:numPr>
        <w:pBdr>
          <w:top w:val="nil"/>
          <w:left w:val="nil"/>
          <w:bottom w:val="nil"/>
          <w:right w:val="nil"/>
          <w:between w:val="nil"/>
        </w:pBdr>
        <w:spacing w:beforeLines="80" w:before="192" w:afterLines="80" w:after="192" w:line="276" w:lineRule="auto"/>
        <w:ind w:left="1560" w:firstLine="0"/>
        <w:jc w:val="both"/>
        <w:rPr>
          <w:rFonts w:ascii="Tahoma" w:eastAsia="Arial" w:hAnsi="Tahoma" w:cs="Tahoma"/>
          <w:color w:val="000000"/>
          <w:sz w:val="20"/>
          <w:szCs w:val="20"/>
        </w:rPr>
      </w:pPr>
      <w:r w:rsidRPr="004F743E">
        <w:rPr>
          <w:rFonts w:ascii="Tahoma" w:eastAsia="Arial" w:hAnsi="Tahoma" w:cs="Tahoma"/>
          <w:color w:val="000000"/>
          <w:sz w:val="20"/>
          <w:szCs w:val="20"/>
        </w:rPr>
        <w:t>deixar de executar, ou não executar com a qualidade mínima exigida as atividades contratadas; ou</w:t>
      </w:r>
    </w:p>
    <w:p w14:paraId="55A01806" w14:textId="77777777" w:rsidR="00D05504" w:rsidRPr="004F743E" w:rsidRDefault="00004375" w:rsidP="00BB4A97">
      <w:pPr>
        <w:numPr>
          <w:ilvl w:val="2"/>
          <w:numId w:val="14"/>
        </w:numPr>
        <w:pBdr>
          <w:top w:val="nil"/>
          <w:left w:val="nil"/>
          <w:bottom w:val="nil"/>
          <w:right w:val="nil"/>
          <w:between w:val="nil"/>
        </w:pBdr>
        <w:spacing w:beforeLines="80" w:before="192" w:afterLines="80" w:after="192" w:line="276" w:lineRule="auto"/>
        <w:ind w:left="1560" w:firstLine="0"/>
        <w:jc w:val="both"/>
        <w:rPr>
          <w:rFonts w:ascii="Tahoma" w:eastAsia="Arial" w:hAnsi="Tahoma" w:cs="Tahoma"/>
          <w:color w:val="000000"/>
          <w:sz w:val="20"/>
          <w:szCs w:val="20"/>
        </w:rPr>
      </w:pPr>
      <w:r w:rsidRPr="004F743E">
        <w:rPr>
          <w:rFonts w:ascii="Tahoma" w:eastAsia="Arial" w:hAnsi="Tahoma" w:cs="Tahoma"/>
          <w:color w:val="000000"/>
          <w:sz w:val="20"/>
          <w:szCs w:val="20"/>
        </w:rPr>
        <w:t>deixar de utilizar materiais e recursos humanos exigidos para a execução do serviço, ou utilizá-los com qualidade ou quantidade inferior à demandada.</w:t>
      </w:r>
    </w:p>
    <w:p w14:paraId="79C687D3" w14:textId="77777777" w:rsidR="00D05504" w:rsidRPr="004F743E" w:rsidRDefault="00004375" w:rsidP="00BB4A97">
      <w:pPr>
        <w:pBdr>
          <w:top w:val="nil"/>
          <w:left w:val="nil"/>
          <w:bottom w:val="nil"/>
          <w:right w:val="nil"/>
          <w:between w:val="nil"/>
        </w:pBdr>
        <w:spacing w:beforeLines="80" w:before="192" w:afterLines="80" w:after="192" w:line="276" w:lineRule="auto"/>
        <w:ind w:left="142"/>
        <w:jc w:val="both"/>
        <w:rPr>
          <w:rFonts w:ascii="Tahoma" w:eastAsia="Arial" w:hAnsi="Tahoma" w:cs="Tahoma"/>
          <w:color w:val="000000"/>
          <w:sz w:val="20"/>
          <w:szCs w:val="20"/>
        </w:rPr>
      </w:pPr>
      <w:r w:rsidRPr="004F743E">
        <w:rPr>
          <w:rFonts w:ascii="Tahoma" w:eastAsia="Arial" w:hAnsi="Tahoma" w:cs="Tahoma"/>
          <w:color w:val="000000"/>
          <w:sz w:val="20"/>
          <w:szCs w:val="20"/>
        </w:rPr>
        <w:t>8.3 A utilização do IMR não impede a aplicação concomitante de outros mecanismos para a avaliação da prestação dos serviços.</w:t>
      </w:r>
    </w:p>
    <w:p w14:paraId="5055AE33" w14:textId="77777777" w:rsidR="00D05504" w:rsidRPr="004F743E" w:rsidRDefault="00004375" w:rsidP="00BB4A97">
      <w:pPr>
        <w:pBdr>
          <w:top w:val="nil"/>
          <w:left w:val="nil"/>
          <w:bottom w:val="nil"/>
          <w:right w:val="nil"/>
          <w:between w:val="nil"/>
        </w:pBdr>
        <w:spacing w:beforeLines="80" w:before="192" w:afterLines="80" w:after="192" w:line="276" w:lineRule="auto"/>
        <w:ind w:left="142"/>
        <w:jc w:val="both"/>
        <w:rPr>
          <w:rFonts w:ascii="Tahoma" w:eastAsia="Arial" w:hAnsi="Tahoma" w:cs="Tahoma"/>
          <w:color w:val="000000"/>
          <w:sz w:val="20"/>
          <w:szCs w:val="20"/>
        </w:rPr>
      </w:pPr>
      <w:r w:rsidRPr="004F743E">
        <w:rPr>
          <w:rFonts w:ascii="Tahoma" w:eastAsia="Arial" w:hAnsi="Tahoma" w:cs="Tahoma"/>
          <w:color w:val="000000"/>
          <w:sz w:val="20"/>
          <w:szCs w:val="20"/>
        </w:rPr>
        <w:t>8.4 A aferição da execução contratual para fins de pagamento considerará os seguintes critérios:</w:t>
      </w:r>
    </w:p>
    <w:p w14:paraId="0208C0CF" w14:textId="77777777" w:rsidR="00D05504" w:rsidRPr="004F743E" w:rsidRDefault="00004375" w:rsidP="00BB4A97">
      <w:pPr>
        <w:pBdr>
          <w:top w:val="nil"/>
          <w:left w:val="nil"/>
          <w:bottom w:val="nil"/>
          <w:right w:val="nil"/>
          <w:between w:val="nil"/>
        </w:pBdr>
        <w:spacing w:beforeLines="80" w:before="192" w:afterLines="80" w:after="192" w:line="276" w:lineRule="auto"/>
        <w:ind w:left="142"/>
        <w:jc w:val="both"/>
        <w:rPr>
          <w:rFonts w:ascii="Tahoma" w:eastAsia="Arial" w:hAnsi="Tahoma" w:cs="Tahoma"/>
          <w:b/>
          <w:color w:val="000000"/>
          <w:sz w:val="20"/>
          <w:szCs w:val="20"/>
        </w:rPr>
      </w:pPr>
      <w:r w:rsidRPr="004F743E">
        <w:rPr>
          <w:rFonts w:ascii="Tahoma" w:eastAsia="Arial" w:hAnsi="Tahoma" w:cs="Tahoma"/>
          <w:b/>
          <w:color w:val="000000"/>
          <w:sz w:val="20"/>
          <w:szCs w:val="20"/>
        </w:rPr>
        <w:t>Do recebimento</w:t>
      </w:r>
    </w:p>
    <w:p w14:paraId="24D9765B"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Ao final de cada etapa da execução contratual, conforme previsto no Cronograma Físico-Financeiro, o Contratado apresentará a medição prévia dos serviços executados no período, por meio de planilha e memória de cálculo detalhada.</w:t>
      </w:r>
    </w:p>
    <w:p w14:paraId="459E3A88"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Uma etapa será considerada efetivamente concluída quando os serviços previstos para aquela etapa, no Cronograma Físico-Financeiro, estiverem executados em sua totalidade.</w:t>
      </w:r>
    </w:p>
    <w:p w14:paraId="62384A19"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O contratado também apresentará, a cada medição, os documentos comprobatórios da procedência legal dos produtos e subprodutos florestais utilizados naquela etapa da execução contratual, quando for o caso.</w:t>
      </w:r>
    </w:p>
    <w:p w14:paraId="247F80FE"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567"/>
        <w:jc w:val="both"/>
        <w:rPr>
          <w:rFonts w:ascii="Tahoma" w:eastAsia="Arial" w:hAnsi="Tahoma" w:cs="Tahoma"/>
          <w:color w:val="000000"/>
          <w:sz w:val="20"/>
          <w:szCs w:val="20"/>
        </w:rPr>
      </w:pPr>
      <w:r w:rsidRPr="004F743E">
        <w:rPr>
          <w:rFonts w:ascii="Tahoma" w:eastAsia="Arial" w:hAnsi="Tahoma" w:cs="Tahoma"/>
          <w:color w:val="000000"/>
          <w:sz w:val="20"/>
          <w:szCs w:val="20"/>
        </w:rPr>
        <w:t>Os serviços serão recebidos provisoriamente, no prazo de 15 (quinze) dias, pelos fiscais técnico e administrativo, mediante termos detalhados, quando verificado o cumprimento das exigências de caráter técnico e administrativo. (Art. 140, I, a , da Lei nº 14.133 e Arts. 22, X e 23, X do Decreto nº 11.246, de 2022).</w:t>
      </w:r>
    </w:p>
    <w:p w14:paraId="4A8456EE"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567"/>
        <w:jc w:val="both"/>
        <w:rPr>
          <w:rFonts w:ascii="Tahoma" w:eastAsia="Arial" w:hAnsi="Tahoma" w:cs="Tahoma"/>
          <w:color w:val="000000"/>
          <w:sz w:val="20"/>
          <w:szCs w:val="20"/>
        </w:rPr>
      </w:pPr>
      <w:r w:rsidRPr="004F743E">
        <w:rPr>
          <w:rFonts w:ascii="Tahoma" w:eastAsia="Arial" w:hAnsi="Tahoma" w:cs="Tahoma"/>
          <w:color w:val="000000"/>
          <w:sz w:val="20"/>
          <w:szCs w:val="20"/>
        </w:rPr>
        <w:t>O prazo da disposição acima será contado do recebimento de comunicação de cobrança oriunda do contratado com a comprovação da prestação dos serviços a que se referem a parcela a ser paga.</w:t>
      </w:r>
    </w:p>
    <w:p w14:paraId="5207CD50"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567"/>
        <w:jc w:val="both"/>
        <w:rPr>
          <w:rFonts w:ascii="Tahoma" w:eastAsia="Arial" w:hAnsi="Tahoma" w:cs="Tahoma"/>
          <w:color w:val="000000"/>
          <w:sz w:val="20"/>
          <w:szCs w:val="20"/>
        </w:rPr>
      </w:pPr>
      <w:r w:rsidRPr="004F743E">
        <w:rPr>
          <w:rFonts w:ascii="Tahoma" w:eastAsia="Arial" w:hAnsi="Tahoma" w:cs="Tahoma"/>
          <w:color w:val="000000"/>
          <w:sz w:val="20"/>
          <w:szCs w:val="20"/>
        </w:rPr>
        <w:t>O fiscal técnico do contrato realizará o recebimento provisório do objeto do contrato mediante termo detalhado que comprove o cumprimento das exigências de caráter técnico. (Art. 22, X, Decreto nº 11.246, de 2022).</w:t>
      </w:r>
    </w:p>
    <w:p w14:paraId="105C62A3"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O fiscal administrativo do contrato realizará o recebimento provisório do objeto do contrato mediante termo detalhado que comprove o cumprimento das exigências de caráter administrativo. (Art. 23, X, Decreto nº 11.246, de 2022)</w:t>
      </w:r>
    </w:p>
    <w:p w14:paraId="4340C242"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O fiscal setorial do contrato, quando houver, realizará o recebimento provisório sob o ponto de vista técnico e administrativo.</w:t>
      </w:r>
    </w:p>
    <w:p w14:paraId="26693CEA"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2E5295CE"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Será considerado como ocorrido o recebimento provisório com a entrega do termo detalhado ou, em havendo mais de um a ser feito, com a entrega do último.</w:t>
      </w:r>
    </w:p>
    <w:p w14:paraId="3149CD8A"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775EE878"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A fiscalização não efetuará o ateste da última e/ou única medição de serviços até que sejam sanadas todas as eventuais pendências que possam vir a ser apontadas no Recebimento Provisório. (Art. 119 c/c art. 140 da Lei nº 14133, de 2021)</w:t>
      </w:r>
    </w:p>
    <w:p w14:paraId="0F092C6C"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O recebimento provisório também ficará sujeito, quando cabível, à conclusão de todos os testes de campo e à entrega dos Manuais e Instruções exigíveis.</w:t>
      </w:r>
    </w:p>
    <w:p w14:paraId="6DF9E334"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Os serviços poderão ser rejeitados, no todo ou em parte, quando em desacordo com as especificações constantes neste Termo de Referência e na proposta, sem prejuízo da aplicação das penalidades.</w:t>
      </w:r>
    </w:p>
    <w:p w14:paraId="268E3608"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567"/>
        <w:jc w:val="both"/>
        <w:rPr>
          <w:rFonts w:ascii="Tahoma" w:eastAsia="Arial" w:hAnsi="Tahoma" w:cs="Tahoma"/>
          <w:color w:val="000000"/>
          <w:sz w:val="20"/>
          <w:szCs w:val="20"/>
        </w:rPr>
      </w:pPr>
      <w:r w:rsidRPr="004F743E">
        <w:rPr>
          <w:rFonts w:ascii="Tahoma" w:eastAsia="Arial" w:hAnsi="Tahoma" w:cs="Tahoma"/>
          <w:color w:val="000000"/>
          <w:sz w:val="20"/>
          <w:szCs w:val="20"/>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38BB995D"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567"/>
        <w:jc w:val="both"/>
        <w:rPr>
          <w:rFonts w:ascii="Tahoma" w:eastAsia="Arial" w:hAnsi="Tahoma" w:cs="Tahoma"/>
          <w:color w:val="000000"/>
          <w:sz w:val="20"/>
          <w:szCs w:val="20"/>
        </w:rPr>
      </w:pPr>
      <w:r w:rsidRPr="004F743E">
        <w:rPr>
          <w:rFonts w:ascii="Tahoma" w:eastAsia="Arial" w:hAnsi="Tahoma" w:cs="Tahoma"/>
          <w:color w:val="000000"/>
          <w:sz w:val="20"/>
          <w:szCs w:val="20"/>
        </w:rPr>
        <w:t>Os serviços serão recebidos definitivamente no prazo de 15 (quinze) dias, contados do recebimento provisório, por servidor ou comissão designada pela autoridade competente, após a verificação da qualidade e quantidade do serviço e consequente aceitação mediante termo detalhado, obedecendo os seguintes procedimentos:</w:t>
      </w:r>
    </w:p>
    <w:p w14:paraId="0FF75111"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(art. 21, VIII, Decreto nº 11.246, de 2022).</w:t>
      </w:r>
    </w:p>
    <w:p w14:paraId="1DEDA935"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41811A4A"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Emitir Termo Detalhado para efeito de recebimento definitivo dos serviços prestados, com base nos relatórios e documentações apresentadas; e</w:t>
      </w:r>
    </w:p>
    <w:p w14:paraId="10DA6007"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Comunicar a empresa para que emita a Nota Fiscal ou Fatura, com o valor exato dimensionado pela fiscalização.</w:t>
      </w:r>
    </w:p>
    <w:p w14:paraId="24A2A989"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Enviar a documentação pertinente ao setor de contratos para a formalização dos procedimentos de liquidação e pagamento, no valor dimensionado pela fiscalização e gestão.</w:t>
      </w:r>
    </w:p>
    <w:p w14:paraId="0F4EC111"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No caso de controvérsia sobre a execução do objeto, quanto à dimensão, qualidade e quantidade, deverá ser observado o teor do </w:t>
      </w:r>
      <w:hyperlink r:id="rId10" w:anchor="art143">
        <w:r w:rsidR="00D05504" w:rsidRPr="004F743E">
          <w:rPr>
            <w:rFonts w:ascii="Tahoma" w:eastAsia="Arial" w:hAnsi="Tahoma" w:cs="Tahoma"/>
            <w:color w:val="000000"/>
            <w:sz w:val="20"/>
            <w:szCs w:val="20"/>
          </w:rPr>
          <w:t>art. 143 da Lei nº 14.133, de 2021</w:t>
        </w:r>
      </w:hyperlink>
      <w:r w:rsidRPr="004F743E">
        <w:rPr>
          <w:rFonts w:ascii="Tahoma" w:eastAsia="Arial" w:hAnsi="Tahoma" w:cs="Tahoma"/>
          <w:color w:val="000000"/>
          <w:sz w:val="20"/>
          <w:szCs w:val="20"/>
        </w:rPr>
        <w:t xml:space="preserve">, comunicando-se à empresa </w:t>
      </w:r>
      <w:r w:rsidRPr="004F743E">
        <w:rPr>
          <w:rFonts w:ascii="Tahoma" w:eastAsia="Arial" w:hAnsi="Tahoma" w:cs="Tahoma"/>
          <w:color w:val="000000"/>
          <w:sz w:val="20"/>
          <w:szCs w:val="20"/>
        </w:rPr>
        <w:lastRenderedPageBreak/>
        <w:t>para emissão de Nota Fiscal no que pertine à parcela incontroversa da execução do objeto, para efeito de liquidação e pagamento.</w:t>
      </w:r>
    </w:p>
    <w:p w14:paraId="5B5169EA"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Nenhum prazo de recebimento ocorrerá enquanto pendente a solução, pelo contratado, de inconsistências verificadas na execução do objeto ou no instrumento de cobrança.</w:t>
      </w:r>
    </w:p>
    <w:p w14:paraId="5D590D73"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hanging="567"/>
        <w:jc w:val="both"/>
        <w:rPr>
          <w:rFonts w:ascii="Tahoma" w:eastAsia="Arial" w:hAnsi="Tahoma" w:cs="Tahoma"/>
          <w:color w:val="000000"/>
          <w:sz w:val="20"/>
          <w:szCs w:val="20"/>
        </w:rPr>
      </w:pPr>
      <w:r w:rsidRPr="004F743E">
        <w:rPr>
          <w:rFonts w:ascii="Tahoma" w:eastAsia="Arial" w:hAnsi="Tahoma" w:cs="Tahoma"/>
          <w:color w:val="000000"/>
          <w:sz w:val="20"/>
          <w:szCs w:val="20"/>
        </w:rPr>
        <w:t>O recebimento provisório ou definitivo não excluirá a responsabilidade civil pela solidez e pela segurança do serviço nem a responsabilidade ético-profissional pela perfeita execução do contrato.</w:t>
      </w:r>
    </w:p>
    <w:p w14:paraId="288EF6C1" w14:textId="77777777" w:rsidR="00D05504" w:rsidRPr="004F743E" w:rsidRDefault="00004375" w:rsidP="00BB4A97">
      <w:pPr>
        <w:pBdr>
          <w:top w:val="nil"/>
          <w:left w:val="nil"/>
          <w:bottom w:val="nil"/>
          <w:right w:val="nil"/>
          <w:between w:val="nil"/>
        </w:pBdr>
        <w:spacing w:beforeLines="80" w:before="192" w:afterLines="80" w:after="192" w:line="276" w:lineRule="auto"/>
        <w:ind w:left="993" w:hanging="993"/>
        <w:jc w:val="both"/>
        <w:rPr>
          <w:rFonts w:ascii="Tahoma" w:eastAsia="Arial" w:hAnsi="Tahoma" w:cs="Tahoma"/>
          <w:b/>
          <w:color w:val="000000"/>
          <w:sz w:val="20"/>
          <w:szCs w:val="20"/>
        </w:rPr>
      </w:pPr>
      <w:r w:rsidRPr="004F743E">
        <w:rPr>
          <w:rFonts w:ascii="Tahoma" w:eastAsia="Arial" w:hAnsi="Tahoma" w:cs="Tahoma"/>
          <w:b/>
          <w:color w:val="000000"/>
          <w:sz w:val="20"/>
          <w:szCs w:val="20"/>
        </w:rPr>
        <w:t>Liquidação</w:t>
      </w:r>
    </w:p>
    <w:p w14:paraId="0F9D0C5A"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567"/>
        <w:jc w:val="both"/>
        <w:rPr>
          <w:rFonts w:ascii="Tahoma" w:eastAsia="Arial" w:hAnsi="Tahoma" w:cs="Tahoma"/>
          <w:color w:val="000000"/>
          <w:sz w:val="20"/>
          <w:szCs w:val="20"/>
        </w:rPr>
      </w:pPr>
      <w:r w:rsidRPr="004F743E">
        <w:rPr>
          <w:rFonts w:ascii="Tahoma" w:eastAsia="Arial" w:hAnsi="Tahoma" w:cs="Tahoma"/>
          <w:color w:val="000000"/>
          <w:sz w:val="20"/>
          <w:szCs w:val="20"/>
        </w:rPr>
        <w:t>Recebida a Nota Fiscal ou documento de cobrança equivalente, correrá o prazo de dez dias úteis para fins de liquidação, na forma desta seção, prorrogáveis por igual período, nos termos do art. 7º, §2º da Instrução Normativa SEGES/ME nº 77/2022.</w:t>
      </w:r>
    </w:p>
    <w:p w14:paraId="16EFA20E"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993"/>
        <w:jc w:val="both"/>
        <w:rPr>
          <w:rFonts w:ascii="Tahoma" w:eastAsia="Arial" w:hAnsi="Tahoma" w:cs="Tahoma"/>
          <w:color w:val="000000"/>
          <w:sz w:val="20"/>
          <w:szCs w:val="20"/>
        </w:rPr>
      </w:pPr>
      <w:r w:rsidRPr="004F743E">
        <w:rPr>
          <w:rFonts w:ascii="Tahoma" w:eastAsia="Arial" w:hAnsi="Tahoma" w:cs="Tahoma"/>
          <w:color w:val="000000"/>
          <w:sz w:val="20"/>
          <w:szCs w:val="20"/>
        </w:rPr>
        <w:t>O prazo de que trata o item anterior será reduzido à metade, mantendo-se a possibilidade de prorrogação, nos casos de contratações decorrentes de despesas cujos valores não ultrapassem o limite de que trata o inciso II do art. 75 da Lei nº 14.133, de 2021.</w:t>
      </w:r>
    </w:p>
    <w:p w14:paraId="02289FE6"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567"/>
        <w:jc w:val="both"/>
        <w:rPr>
          <w:rFonts w:ascii="Tahoma" w:eastAsia="Arial" w:hAnsi="Tahoma" w:cs="Tahoma"/>
          <w:color w:val="000000"/>
          <w:sz w:val="20"/>
          <w:szCs w:val="20"/>
        </w:rPr>
      </w:pPr>
      <w:r w:rsidRPr="004F743E">
        <w:rPr>
          <w:rFonts w:ascii="Tahoma" w:eastAsia="Arial" w:hAnsi="Tahoma" w:cs="Tahoma"/>
          <w:color w:val="000000"/>
          <w:sz w:val="20"/>
          <w:szCs w:val="20"/>
        </w:rPr>
        <w:t>Para fins de liquidação, o setor competente deve verificar se a Nota Fiscal ou Fatura apresentada expressa os elementos necessários e essenciais do documento, tais como:</w:t>
      </w:r>
    </w:p>
    <w:p w14:paraId="6B8ADF7E" w14:textId="77777777" w:rsidR="00D05504" w:rsidRPr="004F743E" w:rsidRDefault="00004375" w:rsidP="00BB4A97">
      <w:pPr>
        <w:pBdr>
          <w:top w:val="nil"/>
          <w:left w:val="nil"/>
          <w:bottom w:val="nil"/>
          <w:right w:val="nil"/>
          <w:between w:val="nil"/>
        </w:pBdr>
        <w:spacing w:beforeLines="80" w:before="192" w:afterLines="80" w:after="192" w:line="276" w:lineRule="auto"/>
        <w:ind w:left="284"/>
        <w:jc w:val="both"/>
        <w:rPr>
          <w:rFonts w:ascii="Tahoma" w:eastAsia="Arial" w:hAnsi="Tahoma" w:cs="Tahoma"/>
          <w:color w:val="000000"/>
          <w:sz w:val="20"/>
          <w:szCs w:val="20"/>
        </w:rPr>
      </w:pPr>
      <w:r w:rsidRPr="004F743E">
        <w:rPr>
          <w:rFonts w:ascii="Tahoma" w:eastAsia="Arial" w:hAnsi="Tahoma" w:cs="Tahoma"/>
          <w:color w:val="000000"/>
          <w:sz w:val="20"/>
          <w:szCs w:val="20"/>
        </w:rPr>
        <w:t>a)</w:t>
      </w:r>
      <w:r w:rsidRPr="004F743E">
        <w:rPr>
          <w:rFonts w:ascii="Tahoma" w:eastAsia="Arial" w:hAnsi="Tahoma" w:cs="Tahoma"/>
          <w:color w:val="000000"/>
          <w:sz w:val="20"/>
          <w:szCs w:val="20"/>
        </w:rPr>
        <w:tab/>
        <w:t>o prazo de validade;</w:t>
      </w:r>
    </w:p>
    <w:p w14:paraId="49ACD3AB" w14:textId="77777777" w:rsidR="00D05504" w:rsidRPr="004F743E" w:rsidRDefault="00004375" w:rsidP="00BB4A97">
      <w:pPr>
        <w:pBdr>
          <w:top w:val="nil"/>
          <w:left w:val="nil"/>
          <w:bottom w:val="nil"/>
          <w:right w:val="nil"/>
          <w:between w:val="nil"/>
        </w:pBdr>
        <w:spacing w:beforeLines="80" w:before="192" w:afterLines="80" w:after="192" w:line="276" w:lineRule="auto"/>
        <w:ind w:left="284"/>
        <w:jc w:val="both"/>
        <w:rPr>
          <w:rFonts w:ascii="Tahoma" w:eastAsia="Arial" w:hAnsi="Tahoma" w:cs="Tahoma"/>
          <w:color w:val="000000"/>
          <w:sz w:val="20"/>
          <w:szCs w:val="20"/>
        </w:rPr>
      </w:pPr>
      <w:r w:rsidRPr="004F743E">
        <w:rPr>
          <w:rFonts w:ascii="Tahoma" w:eastAsia="Arial" w:hAnsi="Tahoma" w:cs="Tahoma"/>
          <w:color w:val="000000"/>
          <w:sz w:val="20"/>
          <w:szCs w:val="20"/>
        </w:rPr>
        <w:t>b)</w:t>
      </w:r>
      <w:r w:rsidRPr="004F743E">
        <w:rPr>
          <w:rFonts w:ascii="Tahoma" w:eastAsia="Arial" w:hAnsi="Tahoma" w:cs="Tahoma"/>
          <w:color w:val="000000"/>
          <w:sz w:val="20"/>
          <w:szCs w:val="20"/>
        </w:rPr>
        <w:tab/>
        <w:t>a data da emissão;</w:t>
      </w:r>
    </w:p>
    <w:p w14:paraId="06413173" w14:textId="77777777" w:rsidR="00D05504" w:rsidRPr="004F743E" w:rsidRDefault="00004375" w:rsidP="00BB4A97">
      <w:pPr>
        <w:pBdr>
          <w:top w:val="nil"/>
          <w:left w:val="nil"/>
          <w:bottom w:val="nil"/>
          <w:right w:val="nil"/>
          <w:between w:val="nil"/>
        </w:pBdr>
        <w:spacing w:beforeLines="80" w:before="192" w:afterLines="80" w:after="192" w:line="276" w:lineRule="auto"/>
        <w:ind w:left="284"/>
        <w:jc w:val="both"/>
        <w:rPr>
          <w:rFonts w:ascii="Tahoma" w:eastAsia="Arial" w:hAnsi="Tahoma" w:cs="Tahoma"/>
          <w:color w:val="000000"/>
          <w:sz w:val="20"/>
          <w:szCs w:val="20"/>
        </w:rPr>
      </w:pPr>
      <w:r w:rsidRPr="004F743E">
        <w:rPr>
          <w:rFonts w:ascii="Tahoma" w:eastAsia="Arial" w:hAnsi="Tahoma" w:cs="Tahoma"/>
          <w:color w:val="000000"/>
          <w:sz w:val="20"/>
          <w:szCs w:val="20"/>
        </w:rPr>
        <w:t>c)</w:t>
      </w:r>
      <w:r w:rsidRPr="004F743E">
        <w:rPr>
          <w:rFonts w:ascii="Tahoma" w:eastAsia="Arial" w:hAnsi="Tahoma" w:cs="Tahoma"/>
          <w:color w:val="000000"/>
          <w:sz w:val="20"/>
          <w:szCs w:val="20"/>
        </w:rPr>
        <w:tab/>
        <w:t>os dados do contrato e do órgão contratante;</w:t>
      </w:r>
    </w:p>
    <w:p w14:paraId="0E12B297" w14:textId="77777777" w:rsidR="00D05504" w:rsidRPr="004F743E" w:rsidRDefault="00004375" w:rsidP="00BB4A97">
      <w:pPr>
        <w:pBdr>
          <w:top w:val="nil"/>
          <w:left w:val="nil"/>
          <w:bottom w:val="nil"/>
          <w:right w:val="nil"/>
          <w:between w:val="nil"/>
        </w:pBdr>
        <w:spacing w:beforeLines="80" w:before="192" w:afterLines="80" w:after="192" w:line="276" w:lineRule="auto"/>
        <w:ind w:left="284"/>
        <w:jc w:val="both"/>
        <w:rPr>
          <w:rFonts w:ascii="Tahoma" w:eastAsia="Arial" w:hAnsi="Tahoma" w:cs="Tahoma"/>
          <w:color w:val="000000"/>
          <w:sz w:val="20"/>
          <w:szCs w:val="20"/>
        </w:rPr>
      </w:pPr>
      <w:r w:rsidRPr="004F743E">
        <w:rPr>
          <w:rFonts w:ascii="Tahoma" w:eastAsia="Arial" w:hAnsi="Tahoma" w:cs="Tahoma"/>
          <w:color w:val="000000"/>
          <w:sz w:val="20"/>
          <w:szCs w:val="20"/>
        </w:rPr>
        <w:t>d)</w:t>
      </w:r>
      <w:r w:rsidRPr="004F743E">
        <w:rPr>
          <w:rFonts w:ascii="Tahoma" w:eastAsia="Arial" w:hAnsi="Tahoma" w:cs="Tahoma"/>
          <w:color w:val="000000"/>
          <w:sz w:val="20"/>
          <w:szCs w:val="20"/>
        </w:rPr>
        <w:tab/>
        <w:t>o período respectivo de execução do contrato;</w:t>
      </w:r>
    </w:p>
    <w:p w14:paraId="7E5A0BF7" w14:textId="77777777" w:rsidR="00D05504" w:rsidRPr="004F743E" w:rsidRDefault="00004375" w:rsidP="00BB4A97">
      <w:pPr>
        <w:pBdr>
          <w:top w:val="nil"/>
          <w:left w:val="nil"/>
          <w:bottom w:val="nil"/>
          <w:right w:val="nil"/>
          <w:between w:val="nil"/>
        </w:pBdr>
        <w:spacing w:beforeLines="80" w:before="192" w:afterLines="80" w:after="192" w:line="276" w:lineRule="auto"/>
        <w:ind w:left="284"/>
        <w:jc w:val="both"/>
        <w:rPr>
          <w:rFonts w:ascii="Tahoma" w:eastAsia="Arial" w:hAnsi="Tahoma" w:cs="Tahoma"/>
          <w:color w:val="000000"/>
          <w:sz w:val="20"/>
          <w:szCs w:val="20"/>
        </w:rPr>
      </w:pPr>
      <w:r w:rsidRPr="004F743E">
        <w:rPr>
          <w:rFonts w:ascii="Tahoma" w:eastAsia="Arial" w:hAnsi="Tahoma" w:cs="Tahoma"/>
          <w:color w:val="000000"/>
          <w:sz w:val="20"/>
          <w:szCs w:val="20"/>
        </w:rPr>
        <w:t>e)</w:t>
      </w:r>
      <w:r w:rsidRPr="004F743E">
        <w:rPr>
          <w:rFonts w:ascii="Tahoma" w:eastAsia="Arial" w:hAnsi="Tahoma" w:cs="Tahoma"/>
          <w:color w:val="000000"/>
          <w:sz w:val="20"/>
          <w:szCs w:val="20"/>
        </w:rPr>
        <w:tab/>
        <w:t>o valor a pagar; e</w:t>
      </w:r>
    </w:p>
    <w:p w14:paraId="5F89FD03" w14:textId="77777777" w:rsidR="00D05504" w:rsidRPr="004F743E" w:rsidRDefault="00004375" w:rsidP="00BB4A97">
      <w:pPr>
        <w:pBdr>
          <w:top w:val="nil"/>
          <w:left w:val="nil"/>
          <w:bottom w:val="nil"/>
          <w:right w:val="nil"/>
          <w:between w:val="nil"/>
        </w:pBdr>
        <w:spacing w:beforeLines="80" w:before="192" w:afterLines="80" w:after="192" w:line="276" w:lineRule="auto"/>
        <w:ind w:left="284"/>
        <w:jc w:val="both"/>
        <w:rPr>
          <w:rFonts w:ascii="Tahoma" w:eastAsia="Arial" w:hAnsi="Tahoma" w:cs="Tahoma"/>
          <w:color w:val="000000"/>
          <w:sz w:val="20"/>
          <w:szCs w:val="20"/>
        </w:rPr>
      </w:pPr>
      <w:r w:rsidRPr="004F743E">
        <w:rPr>
          <w:rFonts w:ascii="Tahoma" w:eastAsia="Arial" w:hAnsi="Tahoma" w:cs="Tahoma"/>
          <w:color w:val="000000"/>
          <w:sz w:val="20"/>
          <w:szCs w:val="20"/>
        </w:rPr>
        <w:t>f)</w:t>
      </w:r>
      <w:r w:rsidRPr="004F743E">
        <w:rPr>
          <w:rFonts w:ascii="Tahoma" w:eastAsia="Arial" w:hAnsi="Tahoma" w:cs="Tahoma"/>
          <w:color w:val="000000"/>
          <w:sz w:val="20"/>
          <w:szCs w:val="20"/>
        </w:rPr>
        <w:tab/>
        <w:t>eventual destaque do valor de retenções tributárias cabíveis.</w:t>
      </w:r>
    </w:p>
    <w:p w14:paraId="4BBC46B6"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10F1A02B"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w:t>
      </w:r>
    </w:p>
    <w:p w14:paraId="209A4240"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426" w:hanging="426"/>
        <w:jc w:val="both"/>
        <w:rPr>
          <w:rFonts w:ascii="Tahoma" w:eastAsia="Arial" w:hAnsi="Tahoma" w:cs="Tahoma"/>
          <w:color w:val="000000"/>
          <w:sz w:val="20"/>
          <w:szCs w:val="20"/>
        </w:rPr>
      </w:pPr>
      <w:r w:rsidRPr="004F743E">
        <w:rPr>
          <w:rFonts w:ascii="Tahoma" w:eastAsia="Arial" w:hAnsi="Tahoma" w:cs="Tahoma"/>
          <w:color w:val="000000"/>
          <w:sz w:val="20"/>
          <w:szCs w:val="2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14:paraId="58EC66AB"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color w:val="000000"/>
          <w:sz w:val="20"/>
          <w:szCs w:val="20"/>
        </w:rPr>
      </w:pPr>
      <w:r w:rsidRPr="004F743E">
        <w:rPr>
          <w:rFonts w:ascii="Tahoma" w:eastAsia="Arial" w:hAnsi="Tahoma" w:cs="Tahoma"/>
          <w:color w:val="000000"/>
          <w:sz w:val="20"/>
          <w:szCs w:val="20"/>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02B8AA9"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21733563"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color w:val="000000"/>
          <w:sz w:val="20"/>
          <w:szCs w:val="20"/>
        </w:rPr>
      </w:pPr>
      <w:r w:rsidRPr="004F743E">
        <w:rPr>
          <w:rFonts w:ascii="Tahoma" w:eastAsia="Arial" w:hAnsi="Tahoma" w:cs="Tahoma"/>
          <w:color w:val="000000"/>
          <w:sz w:val="20"/>
          <w:szCs w:val="20"/>
        </w:rPr>
        <w:t>Persistindo a irregularidade, o contratante deverá adotar as medidas necessárias à rescisão contratual nos autos do processo administrativo correspondente, assegurada ao contratado a ampla defesa.</w:t>
      </w:r>
    </w:p>
    <w:p w14:paraId="5BD3CF16"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Havendo a efetiva execução do objeto, os pagamentos serão realizados normalmente, até que se decida pela rescisão do contrato, caso o contratado não regularize sua situação junto ao SICAF. </w:t>
      </w:r>
    </w:p>
    <w:p w14:paraId="67BC6917"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b/>
          <w:sz w:val="20"/>
          <w:szCs w:val="20"/>
        </w:rPr>
      </w:pPr>
      <w:r w:rsidRPr="004F743E">
        <w:rPr>
          <w:rFonts w:ascii="Tahoma" w:eastAsia="Arial" w:hAnsi="Tahoma" w:cs="Tahoma"/>
          <w:b/>
          <w:color w:val="000000"/>
          <w:sz w:val="20"/>
          <w:szCs w:val="20"/>
        </w:rPr>
        <w:t>Prazo de pagamento</w:t>
      </w:r>
    </w:p>
    <w:p w14:paraId="421878FD"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sz w:val="20"/>
          <w:szCs w:val="20"/>
        </w:rPr>
      </w:pPr>
      <w:r w:rsidRPr="004F743E">
        <w:rPr>
          <w:rFonts w:ascii="Tahoma" w:eastAsia="Arial" w:hAnsi="Tahoma" w:cs="Tahoma"/>
          <w:sz w:val="20"/>
          <w:szCs w:val="20"/>
        </w:rPr>
        <w:t>O pagamento será efetuado no prazo máximo de até dez dias úteis, contados da finalização da liquidação da despesa, conforme seção anterior, nos termos da Instrução Normativa SEGES/ME nº 77, de 2022.</w:t>
      </w:r>
    </w:p>
    <w:p w14:paraId="3FE64F63"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sz w:val="20"/>
          <w:szCs w:val="20"/>
        </w:rPr>
      </w:pPr>
      <w:r w:rsidRPr="004F743E">
        <w:rPr>
          <w:rFonts w:ascii="Tahoma" w:eastAsia="Arial" w:hAnsi="Tahoma" w:cs="Tahoma"/>
          <w:sz w:val="20"/>
          <w:szCs w:val="20"/>
        </w:rPr>
        <w:t xml:space="preserve">No caso de atraso pelo Contratante, os valores devidos ao contratado serão atualizados monetariamente entre o termo final do prazo de pagamento até a data de sua efetiva realização, mediante aplicação do índice Nacional de Custo de Construção (INCC) de correção monetária. </w:t>
      </w:r>
    </w:p>
    <w:p w14:paraId="01805BC4"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b/>
          <w:sz w:val="20"/>
          <w:szCs w:val="20"/>
        </w:rPr>
      </w:pPr>
      <w:r w:rsidRPr="004F743E">
        <w:rPr>
          <w:rFonts w:ascii="Tahoma" w:eastAsia="Arial" w:hAnsi="Tahoma" w:cs="Tahoma"/>
          <w:b/>
          <w:sz w:val="20"/>
          <w:szCs w:val="20"/>
        </w:rPr>
        <w:t>Forma de pagamento</w:t>
      </w:r>
    </w:p>
    <w:p w14:paraId="344D16AA"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sz w:val="20"/>
          <w:szCs w:val="20"/>
        </w:rPr>
      </w:pPr>
      <w:r w:rsidRPr="004F743E">
        <w:rPr>
          <w:rFonts w:ascii="Tahoma" w:eastAsia="Arial" w:hAnsi="Tahoma" w:cs="Tahoma"/>
          <w:sz w:val="20"/>
          <w:szCs w:val="20"/>
        </w:rPr>
        <w:t>O pagamento será realizado através de ordem bancária, para crédito em banco, agência e conta corrente indicados pelo contratado.</w:t>
      </w:r>
    </w:p>
    <w:p w14:paraId="0C6B54E6"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sz w:val="20"/>
          <w:szCs w:val="20"/>
        </w:rPr>
      </w:pPr>
      <w:r w:rsidRPr="004F743E">
        <w:rPr>
          <w:rFonts w:ascii="Tahoma" w:eastAsia="Arial" w:hAnsi="Tahoma" w:cs="Tahoma"/>
          <w:sz w:val="20"/>
          <w:szCs w:val="20"/>
        </w:rPr>
        <w:t>Será considerada data do pagamento o dia em que constar como emitida a ordem bancária para pagamento.</w:t>
      </w:r>
    </w:p>
    <w:p w14:paraId="0CA4B212"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sz w:val="20"/>
          <w:szCs w:val="20"/>
        </w:rPr>
      </w:pPr>
      <w:r w:rsidRPr="004F743E">
        <w:rPr>
          <w:rFonts w:ascii="Tahoma" w:eastAsia="Arial" w:hAnsi="Tahoma" w:cs="Tahoma"/>
          <w:sz w:val="20"/>
          <w:szCs w:val="20"/>
        </w:rPr>
        <w:t>Quando do pagamento, será efetuada a retenção tributária prevista na legislação aplicável.</w:t>
      </w:r>
    </w:p>
    <w:p w14:paraId="25500258" w14:textId="77777777" w:rsidR="00D05504" w:rsidRPr="004F743E" w:rsidRDefault="00004375" w:rsidP="00BB4A97">
      <w:pPr>
        <w:numPr>
          <w:ilvl w:val="2"/>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sz w:val="20"/>
          <w:szCs w:val="20"/>
        </w:rPr>
      </w:pPr>
      <w:r w:rsidRPr="004F743E">
        <w:rPr>
          <w:rFonts w:ascii="Tahoma" w:eastAsia="Arial" w:hAnsi="Tahoma" w:cs="Tahoma"/>
          <w:sz w:val="20"/>
          <w:szCs w:val="20"/>
        </w:rPr>
        <w:t>Independentemente do percentual de tributo inserido na planilha, quando houver, serão retidos na fonte, quando da realização do pagamento, os percentuais estabelecidos na legislação vigente.</w:t>
      </w:r>
    </w:p>
    <w:p w14:paraId="0976A2BB"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ind w:left="709" w:hanging="709"/>
        <w:jc w:val="both"/>
        <w:rPr>
          <w:rFonts w:ascii="Tahoma" w:eastAsia="Arial" w:hAnsi="Tahoma" w:cs="Tahoma"/>
          <w:sz w:val="20"/>
          <w:szCs w:val="20"/>
        </w:rPr>
      </w:pPr>
      <w:r w:rsidRPr="004F743E">
        <w:rPr>
          <w:rFonts w:ascii="Tahoma" w:eastAsia="Arial" w:hAnsi="Tahoma" w:cs="Tahoma"/>
          <w:sz w:val="20"/>
          <w:szCs w:val="20"/>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74D96F8"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b/>
          <w:sz w:val="20"/>
          <w:szCs w:val="20"/>
        </w:rPr>
      </w:pPr>
      <w:r w:rsidRPr="004F743E">
        <w:rPr>
          <w:rFonts w:ascii="Tahoma" w:eastAsia="Arial" w:hAnsi="Tahoma" w:cs="Tahoma"/>
          <w:b/>
          <w:sz w:val="20"/>
          <w:szCs w:val="20"/>
        </w:rPr>
        <w:t>Do reajuste</w:t>
      </w:r>
    </w:p>
    <w:p w14:paraId="66A57EAC"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Os valores contratados poderão ser reajustados após o período mínimo de 12 (dez) meses, contados a partir da data-base da apresentação da proposta.</w:t>
      </w:r>
    </w:p>
    <w:p w14:paraId="75F9751E" w14:textId="77777777"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O reajuste será realizado com base no SINAPI (Sistema Nacional de Pesquisa de Custos e Índices da Construção Civil – IBGE/CAIXA</w:t>
      </w:r>
      <w:r w:rsidRPr="004F743E">
        <w:rPr>
          <w:rFonts w:ascii="Tahoma" w:hAnsi="Tahoma" w:cs="Tahoma"/>
          <w:sz w:val="20"/>
          <w:szCs w:val="20"/>
        </w:rPr>
        <w:t>).</w:t>
      </w:r>
    </w:p>
    <w:p w14:paraId="7E0F0651" w14:textId="63AFA00C"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b/>
          <w:sz w:val="20"/>
          <w:szCs w:val="20"/>
        </w:rPr>
      </w:pPr>
      <w:r w:rsidRPr="004F743E">
        <w:rPr>
          <w:rFonts w:ascii="Tahoma" w:eastAsia="Arial" w:hAnsi="Tahoma" w:cs="Tahoma"/>
          <w:b/>
          <w:sz w:val="20"/>
          <w:szCs w:val="20"/>
        </w:rPr>
        <w:t xml:space="preserve">Reequilíbrio </w:t>
      </w:r>
      <w:r w:rsidR="004F743E" w:rsidRPr="004F743E">
        <w:rPr>
          <w:rFonts w:ascii="Tahoma" w:eastAsia="Arial" w:hAnsi="Tahoma" w:cs="Tahoma"/>
          <w:b/>
          <w:sz w:val="20"/>
          <w:szCs w:val="20"/>
        </w:rPr>
        <w:t>econômico-financeiro</w:t>
      </w:r>
    </w:p>
    <w:p w14:paraId="21724C89" w14:textId="6F08CAE8" w:rsidR="00D05504" w:rsidRPr="004F743E" w:rsidRDefault="00004375" w:rsidP="00BB4A97">
      <w:pPr>
        <w:numPr>
          <w:ilvl w:val="1"/>
          <w:numId w:val="5"/>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 xml:space="preserve">Caso o CONTRATADO requeira reequilíbrio </w:t>
      </w:r>
      <w:r w:rsidR="004F743E" w:rsidRPr="004F743E">
        <w:rPr>
          <w:rFonts w:ascii="Tahoma" w:eastAsia="Arial" w:hAnsi="Tahoma" w:cs="Tahoma"/>
          <w:sz w:val="20"/>
          <w:szCs w:val="20"/>
        </w:rPr>
        <w:t>econômico-financeiro</w:t>
      </w:r>
      <w:r w:rsidRPr="004F743E">
        <w:rPr>
          <w:rFonts w:ascii="Tahoma" w:eastAsia="Arial" w:hAnsi="Tahoma" w:cs="Tahoma"/>
          <w:sz w:val="20"/>
          <w:szCs w:val="20"/>
        </w:rPr>
        <w:t xml:space="preserve"> do contrato, fica o CONTRATANTE obrigado a responder em até 60 (sessenta) dias da data do requerimento ou da data que forem apresentados os documentos necessários para apreciação do pedido.</w:t>
      </w:r>
    </w:p>
    <w:p w14:paraId="40484097" w14:textId="77777777" w:rsidR="00D05504"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sz w:val="20"/>
          <w:szCs w:val="20"/>
        </w:rPr>
      </w:pPr>
      <w:r w:rsidRPr="004F743E">
        <w:rPr>
          <w:rFonts w:ascii="Tahoma" w:eastAsia="Arial" w:hAnsi="Tahoma" w:cs="Tahoma"/>
          <w:b/>
          <w:sz w:val="20"/>
          <w:szCs w:val="20"/>
        </w:rPr>
        <w:lastRenderedPageBreak/>
        <w:t>FORMA E CRITÉRIOS DE SELEÇÃO DO FORNECEDOR E REGIME DE EXECUÇÃO</w:t>
      </w:r>
    </w:p>
    <w:p w14:paraId="2EE2B7D9" w14:textId="77777777" w:rsidR="00D05504" w:rsidRPr="004F743E" w:rsidRDefault="00004375" w:rsidP="00BB4A97">
      <w:pPr>
        <w:keepNext/>
        <w:keepLines/>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sz w:val="20"/>
          <w:szCs w:val="20"/>
        </w:rPr>
      </w:pPr>
      <w:r w:rsidRPr="004F743E">
        <w:rPr>
          <w:rFonts w:ascii="Tahoma" w:eastAsia="Arial" w:hAnsi="Tahoma" w:cs="Tahoma"/>
          <w:b/>
          <w:sz w:val="20"/>
          <w:szCs w:val="20"/>
        </w:rPr>
        <w:t>Forma de seleção e critério de julgamento da proposta</w:t>
      </w:r>
    </w:p>
    <w:p w14:paraId="4AB3D540"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32"/>
        <w:jc w:val="both"/>
        <w:rPr>
          <w:rFonts w:ascii="Tahoma" w:eastAsia="Arial" w:hAnsi="Tahoma" w:cs="Tahoma"/>
          <w:sz w:val="20"/>
          <w:szCs w:val="20"/>
        </w:rPr>
      </w:pPr>
      <w:r w:rsidRPr="004F743E">
        <w:rPr>
          <w:rFonts w:ascii="Tahoma" w:eastAsia="Arial" w:hAnsi="Tahoma" w:cs="Tahoma"/>
          <w:sz w:val="20"/>
          <w:szCs w:val="20"/>
        </w:rPr>
        <w:t xml:space="preserve">O fornecedor será selecionado por meio da realização de procedimento de LICITAÇÃO, na modalidade CONCORRÊNCIA, sob a forma ELETRÔNICA, com adoção do </w:t>
      </w:r>
      <w:r w:rsidRPr="004F743E">
        <w:rPr>
          <w:rFonts w:ascii="Tahoma" w:eastAsia="Arial" w:hAnsi="Tahoma" w:cs="Tahoma"/>
          <w:b/>
          <w:sz w:val="20"/>
          <w:szCs w:val="20"/>
        </w:rPr>
        <w:t>critério de julgamento pelo MENOR PREÇO GLOBAL</w:t>
      </w:r>
      <w:r w:rsidRPr="004F743E">
        <w:rPr>
          <w:rFonts w:ascii="Tahoma" w:eastAsia="Arial" w:hAnsi="Tahoma" w:cs="Tahoma"/>
          <w:sz w:val="20"/>
          <w:szCs w:val="20"/>
        </w:rPr>
        <w:t xml:space="preserve">. </w:t>
      </w:r>
    </w:p>
    <w:p w14:paraId="7008D4C9"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sz w:val="20"/>
          <w:szCs w:val="20"/>
        </w:rPr>
      </w:pPr>
      <w:r w:rsidRPr="004F743E">
        <w:rPr>
          <w:rFonts w:ascii="Tahoma" w:eastAsia="Arial" w:hAnsi="Tahoma" w:cs="Tahoma"/>
          <w:sz w:val="20"/>
          <w:szCs w:val="20"/>
        </w:rPr>
        <w:t xml:space="preserve">O regime de execução do contrato será </w:t>
      </w:r>
      <w:r w:rsidRPr="004F743E">
        <w:rPr>
          <w:rFonts w:ascii="Tahoma" w:eastAsia="Arial" w:hAnsi="Tahoma" w:cs="Tahoma"/>
          <w:b/>
          <w:sz w:val="20"/>
          <w:szCs w:val="20"/>
        </w:rPr>
        <w:t>empreitada por preço unitário</w:t>
      </w:r>
      <w:r w:rsidRPr="004F743E">
        <w:rPr>
          <w:rFonts w:ascii="Tahoma" w:eastAsia="Arial" w:hAnsi="Tahoma" w:cs="Tahoma"/>
          <w:sz w:val="20"/>
          <w:szCs w:val="20"/>
        </w:rPr>
        <w:t>.</w:t>
      </w:r>
    </w:p>
    <w:p w14:paraId="1DD80960" w14:textId="77777777" w:rsidR="00D05504" w:rsidRPr="004F743E" w:rsidRDefault="00004375" w:rsidP="00BB4A97">
      <w:pPr>
        <w:keepNext/>
        <w:keepLines/>
        <w:pBdr>
          <w:top w:val="nil"/>
          <w:left w:val="nil"/>
          <w:bottom w:val="nil"/>
          <w:right w:val="nil"/>
          <w:between w:val="nil"/>
        </w:pBdr>
        <w:tabs>
          <w:tab w:val="left" w:pos="567"/>
        </w:tabs>
        <w:spacing w:beforeLines="80" w:before="192" w:afterLines="80" w:after="192" w:line="276" w:lineRule="auto"/>
        <w:ind w:left="426"/>
        <w:jc w:val="both"/>
        <w:rPr>
          <w:rFonts w:ascii="Tahoma" w:eastAsia="Arial" w:hAnsi="Tahoma" w:cs="Tahoma"/>
          <w:b/>
          <w:sz w:val="20"/>
          <w:szCs w:val="20"/>
        </w:rPr>
      </w:pPr>
      <w:r w:rsidRPr="004F743E">
        <w:rPr>
          <w:rFonts w:ascii="Tahoma" w:eastAsia="Arial" w:hAnsi="Tahoma" w:cs="Tahoma"/>
          <w:b/>
          <w:sz w:val="20"/>
          <w:szCs w:val="20"/>
        </w:rPr>
        <w:t>Critérios de aceitabilidade de preços</w:t>
      </w:r>
    </w:p>
    <w:p w14:paraId="03EC6026"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sz w:val="20"/>
          <w:szCs w:val="20"/>
        </w:rPr>
      </w:pPr>
      <w:r w:rsidRPr="004F743E">
        <w:rPr>
          <w:rFonts w:ascii="Tahoma" w:eastAsia="Arial" w:hAnsi="Tahoma" w:cs="Tahoma"/>
          <w:sz w:val="20"/>
          <w:szCs w:val="20"/>
        </w:rPr>
        <w:t>Ressalvado o objeto ou parte dele sujeito ao regime de empreitada por preço unitário, o critério de aceitabilidade de preços será o valor global estimado para a contratação.</w:t>
      </w:r>
    </w:p>
    <w:p w14:paraId="1E315518" w14:textId="77777777" w:rsidR="00D05504" w:rsidRPr="004F743E" w:rsidRDefault="00004375" w:rsidP="00BB4A97">
      <w:pPr>
        <w:numPr>
          <w:ilvl w:val="2"/>
          <w:numId w:val="14"/>
        </w:numPr>
        <w:pBdr>
          <w:top w:val="nil"/>
          <w:left w:val="nil"/>
          <w:bottom w:val="nil"/>
          <w:right w:val="nil"/>
          <w:between w:val="nil"/>
        </w:pBdr>
        <w:spacing w:beforeLines="80" w:before="192" w:afterLines="80" w:after="192" w:line="276" w:lineRule="auto"/>
        <w:ind w:left="850" w:firstLine="283"/>
        <w:jc w:val="both"/>
        <w:rPr>
          <w:rFonts w:ascii="Tahoma" w:eastAsia="Arial" w:hAnsi="Tahoma" w:cs="Tahoma"/>
          <w:sz w:val="20"/>
          <w:szCs w:val="20"/>
        </w:rPr>
      </w:pPr>
      <w:r w:rsidRPr="004F743E">
        <w:rPr>
          <w:rFonts w:ascii="Tahoma" w:eastAsia="Arial" w:hAnsi="Tahoma" w:cs="Tahoma"/>
          <w:sz w:val="20"/>
          <w:szCs w:val="20"/>
        </w:rPr>
        <w:t>O licitante que estiver mais bem colocado na disputa deverá apresentar à Administração, por meio eletrônico, planilha que contenha o preço global, os quantitativos e os preços unitários tidos como relevantes, conforme modelo de planilha elaborada pela Administração, para efeito de avaliação de exequibilidade (art. 59, §3º, da Lei nº</w:t>
      </w:r>
      <w:r w:rsidRPr="004F743E">
        <w:rPr>
          <w:rFonts w:ascii="Tahoma" w:eastAsia="Arial" w:hAnsi="Tahoma" w:cs="Tahoma"/>
          <w:sz w:val="20"/>
          <w:szCs w:val="20"/>
        </w:rPr>
        <w:tab/>
        <w:t xml:space="preserve"> 14.133/2021 - Modelo anexo II ao ETP);</w:t>
      </w:r>
    </w:p>
    <w:p w14:paraId="659A318A"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Para o objeto ou parte dele sujeito ao regime de empreitada por preço unitário o critério de aceitabilidade de preços será de custos unitários menores do que os orçados pela Administração.</w:t>
      </w:r>
    </w:p>
    <w:p w14:paraId="1D81F0CB" w14:textId="77777777" w:rsidR="00D05504" w:rsidRPr="004F743E" w:rsidRDefault="00004375" w:rsidP="00BB4A97">
      <w:pPr>
        <w:keepNext/>
        <w:keepLines/>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Exigências de habilitação</w:t>
      </w:r>
    </w:p>
    <w:p w14:paraId="1CFF5957"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Para fins de habilitação, deverá o licitante comprovar os seguintes requisitos:</w:t>
      </w:r>
    </w:p>
    <w:p w14:paraId="776FACDD" w14:textId="77777777" w:rsidR="00D05504" w:rsidRPr="004F743E" w:rsidRDefault="00004375" w:rsidP="00BB4A97">
      <w:pPr>
        <w:keepNext/>
        <w:keepLines/>
        <w:pBdr>
          <w:top w:val="nil"/>
          <w:left w:val="nil"/>
          <w:bottom w:val="nil"/>
          <w:right w:val="nil"/>
          <w:between w:val="nil"/>
        </w:pBdr>
        <w:tabs>
          <w:tab w:val="left" w:pos="567"/>
        </w:tabs>
        <w:spacing w:beforeLines="80" w:before="192" w:afterLines="80" w:after="192" w:line="276" w:lineRule="auto"/>
        <w:ind w:left="426"/>
        <w:jc w:val="both"/>
        <w:rPr>
          <w:rFonts w:ascii="Tahoma" w:eastAsia="Arial" w:hAnsi="Tahoma" w:cs="Tahoma"/>
          <w:b/>
          <w:color w:val="000000"/>
          <w:sz w:val="20"/>
          <w:szCs w:val="20"/>
        </w:rPr>
      </w:pPr>
      <w:r w:rsidRPr="004F743E">
        <w:rPr>
          <w:rFonts w:ascii="Tahoma" w:eastAsia="Arial" w:hAnsi="Tahoma" w:cs="Tahoma"/>
          <w:b/>
          <w:color w:val="000000"/>
          <w:sz w:val="20"/>
          <w:szCs w:val="20"/>
        </w:rPr>
        <w:t>Habilitação jurídica</w:t>
      </w:r>
    </w:p>
    <w:p w14:paraId="12479B17"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bookmarkStart w:id="4" w:name="_heading=h.pagtk2ly3vue" w:colFirst="0" w:colLast="0"/>
      <w:bookmarkEnd w:id="4"/>
      <w:r w:rsidRPr="004F743E">
        <w:rPr>
          <w:rFonts w:ascii="Tahoma" w:eastAsia="Arial" w:hAnsi="Tahoma" w:cs="Tahoma"/>
          <w:b/>
          <w:color w:val="000000"/>
          <w:sz w:val="20"/>
          <w:szCs w:val="20"/>
        </w:rPr>
        <w:t>Pessoa física:</w:t>
      </w:r>
      <w:r w:rsidRPr="004F743E">
        <w:rPr>
          <w:rFonts w:ascii="Tahoma" w:eastAsia="Arial" w:hAnsi="Tahoma" w:cs="Tahoma"/>
          <w:color w:val="000000"/>
          <w:sz w:val="20"/>
          <w:szCs w:val="20"/>
        </w:rPr>
        <w:t xml:space="preserve"> cédula de identidade (RG) ou documento equivalente que, por força de lei, tenha validade para fins de identificação em todo o território nacional;</w:t>
      </w:r>
    </w:p>
    <w:p w14:paraId="60157E1F"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b/>
          <w:color w:val="000000"/>
          <w:sz w:val="20"/>
          <w:szCs w:val="20"/>
        </w:rPr>
        <w:t>Empresário individual</w:t>
      </w:r>
      <w:r w:rsidRPr="004F743E">
        <w:rPr>
          <w:rFonts w:ascii="Tahoma" w:eastAsia="Arial" w:hAnsi="Tahoma" w:cs="Tahoma"/>
          <w:color w:val="000000"/>
          <w:sz w:val="20"/>
          <w:szCs w:val="20"/>
        </w:rPr>
        <w:t xml:space="preserve">: inscrição no Registro Público de Empresas Mercantis, a cargo da Junta Comercial da respectiva sede; </w:t>
      </w:r>
    </w:p>
    <w:p w14:paraId="33945104"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b/>
          <w:color w:val="000000"/>
          <w:sz w:val="20"/>
          <w:szCs w:val="20"/>
        </w:rPr>
        <w:t>Microempreendedor Individual - MEI</w:t>
      </w:r>
      <w:r w:rsidRPr="004F743E">
        <w:rPr>
          <w:rFonts w:ascii="Tahoma" w:eastAsia="Arial" w:hAnsi="Tahoma" w:cs="Tahoma"/>
          <w:color w:val="000000"/>
          <w:sz w:val="20"/>
          <w:szCs w:val="20"/>
        </w:rPr>
        <w:t>: Certificado da Condição de Microempreendedor Individual - CCMEI, cuja aceitação ficará condicionada à verificação da autenticidade no sítio https://www.gov.br/empresas-e-negocios/pt-br/empreendedor;</w:t>
      </w:r>
    </w:p>
    <w:p w14:paraId="5BF4D38E"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b/>
          <w:color w:val="000000"/>
          <w:sz w:val="20"/>
          <w:szCs w:val="20"/>
        </w:rPr>
        <w:t>Sociedade empresária, sociedade limitada unipessoal</w:t>
      </w:r>
      <w:r w:rsidRPr="004F743E">
        <w:rPr>
          <w:rFonts w:ascii="Tahoma" w:eastAsia="Arial" w:hAnsi="Tahoma" w:cs="Tahoma"/>
          <w:color w:val="000000"/>
          <w:sz w:val="20"/>
          <w:szCs w:val="20"/>
        </w:rPr>
        <w:t xml:space="preserve">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5A64C4E7"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b/>
          <w:color w:val="000000"/>
          <w:sz w:val="20"/>
          <w:szCs w:val="20"/>
        </w:rPr>
        <w:t>Sociedade empresária estrangeira</w:t>
      </w:r>
      <w:r w:rsidRPr="004F743E">
        <w:rPr>
          <w:rFonts w:ascii="Tahoma" w:eastAsia="Arial" w:hAnsi="Tahoma" w:cs="Tahoma"/>
          <w:color w:val="000000"/>
          <w:sz w:val="20"/>
          <w:szCs w:val="20"/>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66E2B559"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b/>
          <w:color w:val="000000"/>
          <w:sz w:val="20"/>
          <w:szCs w:val="20"/>
        </w:rPr>
        <w:t>Sociedade simples</w:t>
      </w:r>
      <w:r w:rsidRPr="004F743E">
        <w:rPr>
          <w:rFonts w:ascii="Tahoma" w:eastAsia="Arial" w:hAnsi="Tahoma" w:cs="Tahoma"/>
          <w:color w:val="000000"/>
          <w:sz w:val="20"/>
          <w:szCs w:val="20"/>
        </w:rPr>
        <w:t>: inscrição do ato constitutivo no Registro Civil de Pessoas Jurídicas do local de sua sede, acompanhada de documento comprobatório de seus administradores;</w:t>
      </w:r>
    </w:p>
    <w:p w14:paraId="2253F299"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bookmarkStart w:id="5" w:name="_heading=h.21xoofcz9i12" w:colFirst="0" w:colLast="0"/>
      <w:bookmarkEnd w:id="5"/>
      <w:r w:rsidRPr="004F743E">
        <w:rPr>
          <w:rFonts w:ascii="Tahoma" w:eastAsia="Arial" w:hAnsi="Tahoma" w:cs="Tahoma"/>
          <w:b/>
          <w:color w:val="000000"/>
          <w:sz w:val="20"/>
          <w:szCs w:val="20"/>
        </w:rPr>
        <w:lastRenderedPageBreak/>
        <w:t>Filial, sucursal ou agência de sociedade simples ou empresária</w:t>
      </w:r>
      <w:r w:rsidRPr="004F743E">
        <w:rPr>
          <w:rFonts w:ascii="Tahoma" w:eastAsia="Arial" w:hAnsi="Tahoma" w:cs="Tahoma"/>
          <w:color w:val="000000"/>
          <w:sz w:val="20"/>
          <w:szCs w:val="2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098E9434" w14:textId="57794DA9"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“É vedada a participação de cooperativas em licitação  cujo objeto demande responsabilidade técnica por obra de engenharia, cuja execução pressupunha vínculo direto e pessoal dos profissionais habilitados com o executor contratado” Acórdão Nº 1.121/2006 – </w:t>
      </w:r>
      <w:r w:rsidR="00F9639E" w:rsidRPr="004F743E">
        <w:rPr>
          <w:rFonts w:ascii="Tahoma" w:eastAsia="Arial" w:hAnsi="Tahoma" w:cs="Tahoma"/>
          <w:color w:val="000000"/>
          <w:sz w:val="20"/>
          <w:szCs w:val="20"/>
        </w:rPr>
        <w:t>Plenário</w:t>
      </w:r>
      <w:r w:rsidR="00F9639E" w:rsidRPr="004F743E">
        <w:rPr>
          <w:rFonts w:ascii="Tahoma" w:eastAsia="Arial" w:hAnsi="Tahoma" w:cs="Tahoma"/>
          <w:b/>
          <w:color w:val="000000"/>
          <w:sz w:val="20"/>
          <w:szCs w:val="20"/>
        </w:rPr>
        <w:t>.</w:t>
      </w:r>
    </w:p>
    <w:p w14:paraId="3DD84058"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Os documentos apresentados deverão estar acompanhados de todas as alterações ou da consolidação respectiva.</w:t>
      </w:r>
    </w:p>
    <w:p w14:paraId="4654E3A1" w14:textId="77777777" w:rsidR="00D05504" w:rsidRPr="004F743E" w:rsidRDefault="00004375" w:rsidP="00BB4A97">
      <w:pPr>
        <w:keepNext/>
        <w:keepLines/>
        <w:pBdr>
          <w:top w:val="nil"/>
          <w:left w:val="nil"/>
          <w:bottom w:val="nil"/>
          <w:right w:val="nil"/>
          <w:between w:val="nil"/>
        </w:pBdr>
        <w:tabs>
          <w:tab w:val="left" w:pos="567"/>
        </w:tabs>
        <w:spacing w:beforeLines="80" w:before="192" w:afterLines="80" w:after="192" w:line="276" w:lineRule="auto"/>
        <w:ind w:left="426"/>
        <w:jc w:val="both"/>
        <w:rPr>
          <w:rFonts w:ascii="Tahoma" w:eastAsia="Arial" w:hAnsi="Tahoma" w:cs="Tahoma"/>
          <w:b/>
          <w:color w:val="000000"/>
          <w:sz w:val="20"/>
          <w:szCs w:val="20"/>
        </w:rPr>
      </w:pPr>
      <w:r w:rsidRPr="004F743E">
        <w:rPr>
          <w:rFonts w:ascii="Tahoma" w:eastAsia="Arial" w:hAnsi="Tahoma" w:cs="Tahoma"/>
          <w:b/>
          <w:color w:val="000000"/>
          <w:sz w:val="20"/>
          <w:szCs w:val="20"/>
        </w:rPr>
        <w:t>Habilitação fiscal, social e trabalhista</w:t>
      </w:r>
    </w:p>
    <w:p w14:paraId="41AD81F6"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Prova de inscrição no Cadastro Nacional de Pessoas Jurídicas ou no Cadastro de Pessoas Físicas, conforme o caso;</w:t>
      </w:r>
    </w:p>
    <w:p w14:paraId="385F987A"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46695F8E"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Prova de regularidade com o Fundo de Garantia do Tempo de Serviço (FGTS);</w:t>
      </w:r>
    </w:p>
    <w:p w14:paraId="53839F41"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11">
        <w:r w:rsidR="00D05504" w:rsidRPr="004F743E">
          <w:rPr>
            <w:rFonts w:ascii="Tahoma" w:eastAsia="Arial" w:hAnsi="Tahoma" w:cs="Tahoma"/>
            <w:color w:val="000080"/>
            <w:sz w:val="20"/>
            <w:szCs w:val="20"/>
            <w:u w:val="single"/>
          </w:rPr>
          <w:t>Decreto-Lei nº 5.452, de 1º de maio de 1943</w:t>
        </w:r>
      </w:hyperlink>
      <w:r w:rsidRPr="004F743E">
        <w:rPr>
          <w:rFonts w:ascii="Tahoma" w:eastAsia="Arial" w:hAnsi="Tahoma" w:cs="Tahoma"/>
          <w:color w:val="000000"/>
          <w:sz w:val="20"/>
          <w:szCs w:val="20"/>
        </w:rPr>
        <w:t>;</w:t>
      </w:r>
    </w:p>
    <w:p w14:paraId="7B816431"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Prova de inscrição no cadastro de contribuintes Municipal relativo ao domicílio ou sede do fornecedor, pertinente ao seu ramo de atividade e compatível com o objeto contratual; </w:t>
      </w:r>
    </w:p>
    <w:p w14:paraId="2DED9500"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Prova de regularidade com a Fazenda Municipal do domicílio ou sede do fornecedor, relativa à atividade em cujo exercício contrata ou concorre;</w:t>
      </w:r>
    </w:p>
    <w:p w14:paraId="0E79FBBE"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Caso o fornecedor seja considerado isento dos tributos relacionados ao objeto contratual, deverá comprovar tal condição mediante a apresentação de declaração da Fazenda respectiva do seu domicílio ou sede, ou outra equivalente, na forma da lei.</w:t>
      </w:r>
    </w:p>
    <w:p w14:paraId="78BB5A39"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bookmarkStart w:id="6" w:name="_heading=h.fenndv4cm7ap" w:colFirst="0" w:colLast="0"/>
      <w:bookmarkEnd w:id="6"/>
      <w:r w:rsidRPr="004F743E">
        <w:rPr>
          <w:rFonts w:ascii="Tahoma" w:eastAsia="Arial" w:hAnsi="Tahoma" w:cs="Tahoma"/>
          <w:color w:val="000000"/>
          <w:sz w:val="20"/>
          <w:szCs w:val="20"/>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654FDC4E" w14:textId="77777777" w:rsidR="00D05504" w:rsidRPr="004F743E" w:rsidRDefault="00004375" w:rsidP="00BB4A97">
      <w:pPr>
        <w:keepNext/>
        <w:keepLines/>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Qualificação Econômico-Financeira</w:t>
      </w:r>
    </w:p>
    <w:p w14:paraId="43C39186"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certidão negativa de insolvência civil expedida pelo distribuidor do domicílio ou sede do licitante, caso se trate de pessoa física, desde que admitida a sua participação na licitação (art. 5º, inciso II, alínea “c”, da Instrução Normativa Seges/ME nº 116, de 2021), ou de sociedade simples; </w:t>
      </w:r>
    </w:p>
    <w:p w14:paraId="40B29ED1"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certidão negativa de falência expedida pelo distribuidor da sede do fornecedor - Lei nº 14.133, de 2021, art. 69, caput, inciso II);</w:t>
      </w:r>
    </w:p>
    <w:p w14:paraId="1F83894D"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Balanço patrimonial, demonstração de resultado de exercício e demais demonstrações contábeis dos 2 (dois) últimos exercícios sociais, comprovando:</w:t>
      </w:r>
    </w:p>
    <w:p w14:paraId="14370C7E"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índices de Liquidez Geral (LG), Liquidez Corrente (LC), e Solvência Geral (SG) superiores a 1 (um); </w:t>
      </w:r>
    </w:p>
    <w:p w14:paraId="1EE6F61F"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As empresas criadas no exercício financeiro da licitação deverão atender a todas as exigências da habilitação e poderão substituir os demonstrativos contábeis pelo balanço de abertura; e</w:t>
      </w:r>
    </w:p>
    <w:p w14:paraId="1D7CCD85"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Os documentos referidos acima limitar-se-ão ao último exercício no caso de a pessoa jurídica ter sido constituída há menos de 2 (dois) anos. </w:t>
      </w:r>
    </w:p>
    <w:p w14:paraId="57E51B04"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Os documentos referidos acima deverão ser exigidos com base no limite definido pela Receita Federal do Brasil para transmissão da Escrituração Contábil Digital - ECD ao </w:t>
      </w:r>
      <w:proofErr w:type="spellStart"/>
      <w:r w:rsidRPr="004F743E">
        <w:rPr>
          <w:rFonts w:ascii="Tahoma" w:eastAsia="Arial" w:hAnsi="Tahoma" w:cs="Tahoma"/>
          <w:color w:val="000000"/>
          <w:sz w:val="20"/>
          <w:szCs w:val="20"/>
        </w:rPr>
        <w:t>Sped</w:t>
      </w:r>
      <w:proofErr w:type="spellEnd"/>
      <w:r w:rsidRPr="004F743E">
        <w:rPr>
          <w:rFonts w:ascii="Tahoma" w:eastAsia="Arial" w:hAnsi="Tahoma" w:cs="Tahoma"/>
          <w:color w:val="000000"/>
          <w:sz w:val="20"/>
          <w:szCs w:val="20"/>
        </w:rPr>
        <w:t>.</w:t>
      </w:r>
    </w:p>
    <w:p w14:paraId="0B4A4F09"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Caso a empresa licitante apresente resultado inferior ou igual a 1 (um) em qualquer dos índices de Liquidez Geral (LG), Solvência Geral (SG) e Liquidez Corrente (LC), será exigido para fins de habilitação patrimônio líquido mínimo de até 10% do [valor total estimado da contratação.</w:t>
      </w:r>
    </w:p>
    <w:p w14:paraId="3CC6B2EF"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bookmarkStart w:id="7" w:name="_heading=h.o1k4ab6o3ry0" w:colFirst="0" w:colLast="0"/>
      <w:bookmarkEnd w:id="7"/>
      <w:r w:rsidRPr="004F743E">
        <w:rPr>
          <w:rFonts w:ascii="Tahoma" w:eastAsia="Arial" w:hAnsi="Tahoma" w:cs="Tahoma"/>
          <w:color w:val="000000"/>
          <w:sz w:val="20"/>
          <w:szCs w:val="20"/>
        </w:rPr>
        <w:t>As empresas criadas no exercício financeiro da licitação deverão atender a todas as exigências da habilitação e poderão substituir os demonstrativos contábeis pelo balanço de abertura. (Lei nº 14.133, de 2021, art. 65, §1º).</w:t>
      </w:r>
    </w:p>
    <w:p w14:paraId="2DCB4A2D"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O atendimento dos índices econômicos previstos neste item deverá ser atestado mediante declaração assinada por profissional habilitado da área contábil, apresentada pelo fornecedor.</w:t>
      </w:r>
    </w:p>
    <w:p w14:paraId="6AE96188" w14:textId="77777777" w:rsidR="00D05504"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A adoção de índices constitui instrumento relevante para a constatação da exequibilidade do objeto e não pode ser desconsiderada pela Administração, especialmente no tocante aos contratos de média e longa duração. Os índices estabelecidos atendem ao disposto no Art.69, da Lei 14.133/2021, pois permitem a comprovação da situação financeira da empresa de forma objetiva, através dos cálculos previstos e devidamente justificados, usualmente adotados para correta avaliação de situação financeira suficiente ao cumprimento das obrigações decorrentes da licitação, ao passo em que não frustram ou restringem o caráter competitivo do certame, eis que estabelecidos em patamares aceitáveis.</w:t>
      </w:r>
    </w:p>
    <w:p w14:paraId="50E74A2E" w14:textId="13638B78" w:rsidR="00A13691" w:rsidRPr="00A13691" w:rsidRDefault="00A13691" w:rsidP="00BB4A97">
      <w:pPr>
        <w:pBdr>
          <w:top w:val="nil"/>
          <w:left w:val="nil"/>
          <w:bottom w:val="nil"/>
          <w:right w:val="nil"/>
          <w:between w:val="nil"/>
        </w:pBdr>
        <w:tabs>
          <w:tab w:val="left" w:pos="426"/>
        </w:tabs>
        <w:spacing w:beforeLines="80" w:before="192" w:afterLines="80" w:after="192" w:line="276" w:lineRule="auto"/>
        <w:ind w:left="347"/>
        <w:jc w:val="both"/>
        <w:rPr>
          <w:rFonts w:ascii="Tahoma" w:eastAsia="Arial" w:hAnsi="Tahoma" w:cs="Tahoma"/>
          <w:b/>
          <w:bCs/>
          <w:i/>
          <w:iCs/>
          <w:color w:val="000000"/>
          <w:sz w:val="18"/>
          <w:szCs w:val="18"/>
        </w:rPr>
      </w:pPr>
      <w:r>
        <w:rPr>
          <w:rFonts w:ascii="Tahoma" w:eastAsia="Arial" w:hAnsi="Tahoma" w:cs="Tahoma"/>
          <w:b/>
          <w:bCs/>
          <w:i/>
          <w:iCs/>
          <w:color w:val="000000"/>
          <w:sz w:val="18"/>
          <w:szCs w:val="18"/>
        </w:rPr>
        <w:t xml:space="preserve">NOTA: </w:t>
      </w:r>
      <w:r w:rsidRPr="00A13691">
        <w:rPr>
          <w:rFonts w:ascii="Tahoma" w:eastAsia="Arial" w:hAnsi="Tahoma" w:cs="Tahoma"/>
          <w:b/>
          <w:bCs/>
          <w:i/>
          <w:iCs/>
          <w:color w:val="000000"/>
          <w:sz w:val="18"/>
          <w:szCs w:val="18"/>
        </w:rPr>
        <w:t>Nos termos do art. 69 da Lei nº 14.133/2021, a qualificação econômico-financeira comprova, de modo objetivo, a aptidão do licitante para cumprir o contrato. Exigem-se balanço e demonstrações dos 2 últimos exercícios, quando aplicável conforme ECD/</w:t>
      </w:r>
      <w:proofErr w:type="spellStart"/>
      <w:r w:rsidRPr="00A13691">
        <w:rPr>
          <w:rFonts w:ascii="Tahoma" w:eastAsia="Arial" w:hAnsi="Tahoma" w:cs="Tahoma"/>
          <w:b/>
          <w:bCs/>
          <w:i/>
          <w:iCs/>
          <w:color w:val="000000"/>
          <w:sz w:val="18"/>
          <w:szCs w:val="18"/>
        </w:rPr>
        <w:t>Sped</w:t>
      </w:r>
      <w:proofErr w:type="spellEnd"/>
      <w:r w:rsidRPr="00A13691">
        <w:rPr>
          <w:rFonts w:ascii="Tahoma" w:eastAsia="Arial" w:hAnsi="Tahoma" w:cs="Tahoma"/>
          <w:b/>
          <w:bCs/>
          <w:i/>
          <w:iCs/>
          <w:color w:val="000000"/>
          <w:sz w:val="18"/>
          <w:szCs w:val="18"/>
        </w:rPr>
        <w:t xml:space="preserve"> (RFB), com regras específicas para empresas com menos de 2 anos ou constituídas no exercício (balanço do último ou de abertura). Os índices LC, LG e SG &gt; 1 são critérios usuais e justificáveis: LC verifica liquidez de curto prazo; LG avalia equilíbrio no curto e longo prazo; SG evidencia que o ativo total supera o passivo, mitigando risco de insolvência. Se algum índice ≤ 1, admite-se habilitação mediante patrimônio líquido mínimo de até 10% do valor estimado, como salvaguarda proporcional e não restritiva.</w:t>
      </w:r>
    </w:p>
    <w:p w14:paraId="07ACD69D" w14:textId="77777777" w:rsidR="00D05504" w:rsidRPr="004F743E" w:rsidRDefault="00004375" w:rsidP="00BB4A97">
      <w:pPr>
        <w:keepNext/>
        <w:keepLines/>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Qualificação Técnica</w:t>
      </w:r>
    </w:p>
    <w:p w14:paraId="0CB1EBB4"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bookmarkStart w:id="8" w:name="_heading=h.8xu6a04mgibm" w:colFirst="0" w:colLast="0"/>
      <w:bookmarkEnd w:id="8"/>
      <w:r w:rsidRPr="004F743E">
        <w:rPr>
          <w:rFonts w:ascii="Tahoma" w:eastAsia="Arial" w:hAnsi="Tahoma" w:cs="Tahoma"/>
          <w:color w:val="000000"/>
          <w:sz w:val="20"/>
          <w:szCs w:val="20"/>
        </w:rPr>
        <w:t>Declaração de que o licitante tomou conhecimento de todas as informações e das condições locais para o cumprimento das obrigações objeto da licitação;</w:t>
      </w:r>
    </w:p>
    <w:p w14:paraId="20AC0161" w14:textId="77777777" w:rsidR="00D05504" w:rsidRPr="004F743E" w:rsidRDefault="00004375" w:rsidP="00BB4A97">
      <w:pPr>
        <w:numPr>
          <w:ilvl w:val="2"/>
          <w:numId w:val="14"/>
        </w:numPr>
        <w:pBdr>
          <w:top w:val="nil"/>
          <w:left w:val="nil"/>
          <w:bottom w:val="nil"/>
          <w:right w:val="nil"/>
          <w:between w:val="nil"/>
        </w:pBdr>
        <w:spacing w:beforeLines="80" w:before="192" w:afterLines="80" w:after="192" w:line="276" w:lineRule="auto"/>
        <w:ind w:left="992" w:firstLine="141"/>
        <w:jc w:val="both"/>
        <w:rPr>
          <w:rFonts w:ascii="Tahoma" w:eastAsia="Arial" w:hAnsi="Tahoma" w:cs="Tahoma"/>
          <w:color w:val="000000"/>
          <w:sz w:val="20"/>
          <w:szCs w:val="20"/>
        </w:rPr>
      </w:pPr>
      <w:bookmarkStart w:id="9" w:name="_heading=h.u6freb3ytquw" w:colFirst="0" w:colLast="0"/>
      <w:bookmarkEnd w:id="9"/>
      <w:r w:rsidRPr="004F743E">
        <w:rPr>
          <w:rFonts w:ascii="Tahoma" w:eastAsia="Arial" w:hAnsi="Tahoma" w:cs="Tahoma"/>
          <w:color w:val="000000"/>
          <w:sz w:val="20"/>
          <w:szCs w:val="20"/>
        </w:rPr>
        <w:t>A declaração acima poderá ser substituída por declaração formal assinada pelo responsável técnico do licitante acerca do conhecimento pleno das condições e peculiaridades da contratação.</w:t>
      </w:r>
    </w:p>
    <w:p w14:paraId="01BDA76E"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Registro ou inscrição da empresa na entidade profissional competente, Conselho de Arquitetura e Urbanismo – CAU, ou Conselho Federal de Engenharia e Agronomia – CONFEA/ Conselho Regional de Engenharia e Agronomia - CREA</w:t>
      </w:r>
      <w:r w:rsidRPr="004F743E">
        <w:rPr>
          <w:rFonts w:ascii="Tahoma" w:eastAsia="Arial" w:hAnsi="Tahoma" w:cs="Tahoma"/>
          <w:color w:val="FF0000"/>
          <w:sz w:val="20"/>
          <w:szCs w:val="20"/>
        </w:rPr>
        <w:t>,</w:t>
      </w:r>
      <w:r w:rsidRPr="004F743E">
        <w:rPr>
          <w:rFonts w:ascii="Tahoma" w:eastAsia="Arial" w:hAnsi="Tahoma" w:cs="Tahoma"/>
          <w:color w:val="000000"/>
          <w:sz w:val="20"/>
          <w:szCs w:val="20"/>
        </w:rPr>
        <w:t xml:space="preserve"> em plena validade.</w:t>
      </w:r>
    </w:p>
    <w:p w14:paraId="63CCDB7C"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Sociedades empresárias estrangeiras atenderão à exigência por meio da apresentação, no momento da assinatura do contrato, da solicitação de registro perante a entidade profissional competente no Brasil.</w:t>
      </w:r>
    </w:p>
    <w:p w14:paraId="450D0A8D"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A licitante deverá apresentar:</w:t>
      </w:r>
    </w:p>
    <w:p w14:paraId="205AA049" w14:textId="77777777" w:rsidR="00D05504" w:rsidRPr="004F743E" w:rsidRDefault="00004375" w:rsidP="00BB4A97">
      <w:pPr>
        <w:numPr>
          <w:ilvl w:val="2"/>
          <w:numId w:val="14"/>
        </w:numPr>
        <w:pBdr>
          <w:top w:val="nil"/>
          <w:left w:val="nil"/>
          <w:bottom w:val="nil"/>
          <w:right w:val="nil"/>
          <w:between w:val="nil"/>
        </w:pBdr>
        <w:tabs>
          <w:tab w:val="left" w:pos="426"/>
        </w:tabs>
        <w:spacing w:beforeLines="80" w:before="192" w:afterLines="80" w:after="192" w:line="276" w:lineRule="auto"/>
        <w:ind w:left="1134" w:hanging="787"/>
        <w:jc w:val="both"/>
        <w:rPr>
          <w:rFonts w:ascii="Tahoma" w:eastAsia="Arial" w:hAnsi="Tahoma" w:cs="Tahoma"/>
          <w:color w:val="000000"/>
          <w:sz w:val="20"/>
          <w:szCs w:val="20"/>
        </w:rPr>
      </w:pPr>
      <w:r w:rsidRPr="004F743E">
        <w:rPr>
          <w:rFonts w:ascii="Tahoma" w:eastAsia="Arial" w:hAnsi="Tahoma" w:cs="Tahoma"/>
          <w:color w:val="000000"/>
          <w:sz w:val="20"/>
          <w:szCs w:val="20"/>
        </w:rPr>
        <w:t>Inscrição ou registro da licitante (pessoa jurídica) junto ao Conselho Regional de Engenharia e Agronomia – CREA e/ou Conselho de Arquitetura e Urbanismo – CAU competente da região a que estiver vinculada, que comprove atividade relacionada com o objeto;</w:t>
      </w:r>
    </w:p>
    <w:p w14:paraId="4FC3DAEC" w14:textId="77777777" w:rsidR="00D05504" w:rsidRPr="004F743E" w:rsidRDefault="00004375" w:rsidP="00BB4A97">
      <w:pPr>
        <w:numPr>
          <w:ilvl w:val="2"/>
          <w:numId w:val="14"/>
        </w:numPr>
        <w:pBdr>
          <w:top w:val="nil"/>
          <w:left w:val="nil"/>
          <w:bottom w:val="nil"/>
          <w:right w:val="nil"/>
          <w:between w:val="nil"/>
        </w:pBdr>
        <w:tabs>
          <w:tab w:val="left" w:pos="426"/>
        </w:tabs>
        <w:spacing w:beforeLines="80" w:before="192" w:afterLines="80" w:after="192" w:line="276" w:lineRule="auto"/>
        <w:ind w:left="1134" w:hanging="787"/>
        <w:jc w:val="both"/>
        <w:rPr>
          <w:rFonts w:ascii="Tahoma" w:eastAsia="Arial" w:hAnsi="Tahoma" w:cs="Tahoma"/>
          <w:color w:val="000000"/>
          <w:sz w:val="20"/>
          <w:szCs w:val="20"/>
        </w:rPr>
      </w:pPr>
      <w:r w:rsidRPr="004F743E">
        <w:rPr>
          <w:rFonts w:ascii="Tahoma" w:eastAsia="Arial" w:hAnsi="Tahoma" w:cs="Tahoma"/>
          <w:color w:val="000000"/>
          <w:sz w:val="20"/>
          <w:szCs w:val="20"/>
        </w:rPr>
        <w:t>Declaração de visita do local onde serão executadas as obras/serviços e fornecimentos, emitida pela própria licitante, assinada pelo(s) o(s) Responsável(</w:t>
      </w:r>
      <w:proofErr w:type="spellStart"/>
      <w:r w:rsidRPr="004F743E">
        <w:rPr>
          <w:rFonts w:ascii="Tahoma" w:eastAsia="Arial" w:hAnsi="Tahoma" w:cs="Tahoma"/>
          <w:color w:val="000000"/>
          <w:sz w:val="20"/>
          <w:szCs w:val="20"/>
        </w:rPr>
        <w:t>is</w:t>
      </w:r>
      <w:proofErr w:type="spellEnd"/>
      <w:r w:rsidRPr="004F743E">
        <w:rPr>
          <w:rFonts w:ascii="Tahoma" w:eastAsia="Arial" w:hAnsi="Tahoma" w:cs="Tahoma"/>
          <w:color w:val="000000"/>
          <w:sz w:val="20"/>
          <w:szCs w:val="20"/>
        </w:rPr>
        <w:t xml:space="preserve">) Técnico(s) ou Representante </w:t>
      </w:r>
      <w:r w:rsidRPr="004F743E">
        <w:rPr>
          <w:rFonts w:ascii="Tahoma" w:eastAsia="Arial" w:hAnsi="Tahoma" w:cs="Tahoma"/>
          <w:sz w:val="20"/>
          <w:szCs w:val="20"/>
        </w:rPr>
        <w:t>Legal;</w:t>
      </w:r>
    </w:p>
    <w:p w14:paraId="27B277BD" w14:textId="77777777" w:rsidR="00D05504" w:rsidRPr="004F743E" w:rsidRDefault="00004375" w:rsidP="00BB4A97">
      <w:pPr>
        <w:numPr>
          <w:ilvl w:val="2"/>
          <w:numId w:val="14"/>
        </w:numPr>
        <w:pBdr>
          <w:top w:val="nil"/>
          <w:left w:val="nil"/>
          <w:bottom w:val="nil"/>
          <w:right w:val="nil"/>
          <w:between w:val="nil"/>
        </w:pBdr>
        <w:tabs>
          <w:tab w:val="left" w:pos="426"/>
        </w:tabs>
        <w:spacing w:beforeLines="80" w:before="192" w:afterLines="80" w:after="192" w:line="276" w:lineRule="auto"/>
        <w:ind w:left="283" w:firstLine="141"/>
        <w:jc w:val="both"/>
        <w:rPr>
          <w:rFonts w:ascii="Tahoma" w:eastAsia="Arial" w:hAnsi="Tahoma" w:cs="Tahoma"/>
          <w:color w:val="000000"/>
          <w:sz w:val="20"/>
          <w:szCs w:val="20"/>
        </w:rPr>
      </w:pPr>
      <w:r w:rsidRPr="004F743E">
        <w:rPr>
          <w:rFonts w:ascii="Tahoma" w:eastAsia="Arial" w:hAnsi="Tahoma" w:cs="Tahoma"/>
          <w:sz w:val="20"/>
          <w:szCs w:val="20"/>
          <w:highlight w:val="white"/>
        </w:rPr>
        <w:t>Atestado(s) de capacidade técnica, em nome profissional de nível superior pertencente ao quadro técnico da empresa, devidamente comprovado, expedido por pessoas jurídicas de direito público ou privado, devidamente registrado no Conselho Regional de Engenharia e Agronomia – CREA e/ou Conselho de Arquitetura e Urbanismo – CAU, da região onde os serviços foram executados, acompanhado(s) da(s) respectiva(s) Certidão(</w:t>
      </w:r>
      <w:proofErr w:type="spellStart"/>
      <w:r w:rsidRPr="004F743E">
        <w:rPr>
          <w:rFonts w:ascii="Tahoma" w:eastAsia="Arial" w:hAnsi="Tahoma" w:cs="Tahoma"/>
          <w:sz w:val="20"/>
          <w:szCs w:val="20"/>
          <w:highlight w:val="white"/>
        </w:rPr>
        <w:t>ões</w:t>
      </w:r>
      <w:proofErr w:type="spellEnd"/>
      <w:r w:rsidRPr="004F743E">
        <w:rPr>
          <w:rFonts w:ascii="Tahoma" w:eastAsia="Arial" w:hAnsi="Tahoma" w:cs="Tahoma"/>
          <w:sz w:val="20"/>
          <w:szCs w:val="20"/>
          <w:highlight w:val="white"/>
        </w:rPr>
        <w:t>) de Acervo Técnico – CAT, expedida(s) por estes Conselhos, que comprovem que a licitante tenha executado serviços de obras similares de porte e complexidade ao objeto desta licitação, executadas materiais semelhantes ou superiores às requeridas para execução dos itens de maior relevância, que levou em consideração os serviços contidos na planilha orçamentária,  para comprovação nas Certidão(</w:t>
      </w:r>
      <w:proofErr w:type="spellStart"/>
      <w:r w:rsidRPr="004F743E">
        <w:rPr>
          <w:rFonts w:ascii="Tahoma" w:eastAsia="Arial" w:hAnsi="Tahoma" w:cs="Tahoma"/>
          <w:sz w:val="20"/>
          <w:szCs w:val="20"/>
          <w:highlight w:val="white"/>
        </w:rPr>
        <w:t>ões</w:t>
      </w:r>
      <w:proofErr w:type="spellEnd"/>
      <w:r w:rsidRPr="004F743E">
        <w:rPr>
          <w:rFonts w:ascii="Tahoma" w:eastAsia="Arial" w:hAnsi="Tahoma" w:cs="Tahoma"/>
          <w:sz w:val="20"/>
          <w:szCs w:val="20"/>
          <w:highlight w:val="white"/>
        </w:rPr>
        <w:t xml:space="preserve">) de Acervo Técnico </w:t>
      </w:r>
      <w:proofErr w:type="spellStart"/>
      <w:r w:rsidRPr="004F743E">
        <w:rPr>
          <w:rFonts w:ascii="Tahoma" w:eastAsia="Arial" w:hAnsi="Tahoma" w:cs="Tahoma"/>
          <w:sz w:val="20"/>
          <w:szCs w:val="20"/>
          <w:highlight w:val="white"/>
        </w:rPr>
        <w:t>CAT’s</w:t>
      </w:r>
      <w:proofErr w:type="spellEnd"/>
      <w:r w:rsidRPr="004F743E">
        <w:rPr>
          <w:rFonts w:ascii="Tahoma" w:eastAsia="Arial" w:hAnsi="Tahoma" w:cs="Tahoma"/>
          <w:sz w:val="20"/>
          <w:szCs w:val="20"/>
          <w:highlight w:val="white"/>
        </w:rPr>
        <w:t xml:space="preserve"> de 50% </w:t>
      </w:r>
      <w:r w:rsidRPr="004F743E">
        <w:rPr>
          <w:rFonts w:ascii="Tahoma" w:eastAsia="Arial" w:hAnsi="Tahoma" w:cs="Tahoma"/>
          <w:color w:val="000000"/>
          <w:sz w:val="20"/>
          <w:szCs w:val="20"/>
          <w:highlight w:val="white"/>
        </w:rPr>
        <w:t xml:space="preserve">dos </w:t>
      </w:r>
      <w:r w:rsidRPr="004F743E">
        <w:rPr>
          <w:rFonts w:ascii="Tahoma" w:eastAsia="Arial" w:hAnsi="Tahoma" w:cs="Tahoma"/>
          <w:sz w:val="20"/>
          <w:szCs w:val="20"/>
          <w:highlight w:val="white"/>
        </w:rPr>
        <w:t>quantitativos dos serviços de maior relevância:</w:t>
      </w:r>
    </w:p>
    <w:p w14:paraId="7A15A572" w14:textId="77777777" w:rsidR="00D05504" w:rsidRPr="004F743E" w:rsidRDefault="00004375" w:rsidP="00BB4A97">
      <w:pPr>
        <w:pBdr>
          <w:top w:val="nil"/>
          <w:left w:val="nil"/>
          <w:bottom w:val="nil"/>
          <w:right w:val="nil"/>
          <w:between w:val="nil"/>
        </w:pBdr>
        <w:tabs>
          <w:tab w:val="left" w:pos="142"/>
        </w:tabs>
        <w:spacing w:beforeLines="80" w:before="192" w:afterLines="80" w:after="192" w:line="276" w:lineRule="auto"/>
        <w:ind w:left="142" w:right="-1"/>
        <w:jc w:val="center"/>
        <w:rPr>
          <w:rFonts w:ascii="Tahoma" w:eastAsia="Arial" w:hAnsi="Tahoma" w:cs="Tahoma"/>
          <w:b/>
          <w:sz w:val="20"/>
          <w:szCs w:val="20"/>
          <w:highlight w:val="white"/>
        </w:rPr>
      </w:pPr>
      <w:r w:rsidRPr="004F743E">
        <w:rPr>
          <w:rFonts w:ascii="Tahoma" w:eastAsia="Arial" w:hAnsi="Tahoma" w:cs="Tahoma"/>
          <w:b/>
          <w:noProof/>
          <w:sz w:val="20"/>
          <w:szCs w:val="20"/>
          <w:highlight w:val="white"/>
        </w:rPr>
        <w:drawing>
          <wp:inline distT="114300" distB="114300" distL="114300" distR="114300" wp14:anchorId="215D2392" wp14:editId="0D2A5496">
            <wp:extent cx="6119820" cy="115570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6119820" cy="1155700"/>
                    </a:xfrm>
                    <a:prstGeom prst="rect">
                      <a:avLst/>
                    </a:prstGeom>
                    <a:ln/>
                  </pic:spPr>
                </pic:pic>
              </a:graphicData>
            </a:graphic>
          </wp:inline>
        </w:drawing>
      </w:r>
    </w:p>
    <w:p w14:paraId="0CDD7873" w14:textId="77777777" w:rsidR="001777D3" w:rsidRPr="004F743E" w:rsidRDefault="00004375" w:rsidP="00BB4A97">
      <w:pPr>
        <w:tabs>
          <w:tab w:val="left" w:pos="6"/>
        </w:tabs>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9.37.4 Para fins de comprovação da qualificação técnica, a licitante deverá demonstrar possuir capacidade técnica compatível com o objeto licitado, atendendo aos seguintes requisitos, nos termos do art. 67 da Lei nº 14.133/2021:</w:t>
      </w:r>
    </w:p>
    <w:p w14:paraId="2434B8AF" w14:textId="77777777" w:rsidR="00F9639E" w:rsidRDefault="00004375" w:rsidP="00BB4A97">
      <w:pPr>
        <w:tabs>
          <w:tab w:val="left" w:pos="284"/>
        </w:tabs>
        <w:spacing w:beforeLines="80" w:before="192" w:afterLines="80" w:after="192" w:line="276" w:lineRule="auto"/>
        <w:ind w:left="284"/>
        <w:jc w:val="both"/>
        <w:rPr>
          <w:rFonts w:ascii="Tahoma" w:eastAsia="Arial" w:hAnsi="Tahoma" w:cs="Tahoma"/>
          <w:sz w:val="20"/>
          <w:szCs w:val="20"/>
        </w:rPr>
      </w:pPr>
      <w:r w:rsidRPr="004F743E">
        <w:rPr>
          <w:rFonts w:ascii="Tahoma" w:eastAsia="Arial" w:hAnsi="Tahoma" w:cs="Tahoma"/>
          <w:sz w:val="20"/>
          <w:szCs w:val="20"/>
        </w:rPr>
        <w:t>I) Apresentar atestados de capacidade técnico-operacional, emitidos por pessoa jurídica de direito público ou privado, que comprovem que a licitante executou, de forma satisfatória, obra ou serviço de características e complexidade similares ao objeto desta contratação, compreendendo, no mínimo, as seguintes parcelas de maior relevância:</w:t>
      </w:r>
    </w:p>
    <w:p w14:paraId="283E10C7" w14:textId="54BAFACF" w:rsidR="004F743E" w:rsidRDefault="00004375" w:rsidP="00BB4A97">
      <w:pPr>
        <w:tabs>
          <w:tab w:val="left" w:pos="284"/>
        </w:tabs>
        <w:spacing w:beforeLines="80" w:before="192" w:afterLines="80" w:after="192" w:line="276" w:lineRule="auto"/>
        <w:ind w:left="284"/>
        <w:jc w:val="both"/>
        <w:rPr>
          <w:rFonts w:ascii="Tahoma" w:eastAsia="Arial" w:hAnsi="Tahoma" w:cs="Tahoma"/>
          <w:sz w:val="20"/>
          <w:szCs w:val="20"/>
        </w:rPr>
      </w:pPr>
      <w:r w:rsidRPr="004F743E">
        <w:rPr>
          <w:rFonts w:ascii="Tahoma" w:eastAsia="Arial" w:hAnsi="Tahoma" w:cs="Tahoma"/>
          <w:sz w:val="20"/>
          <w:szCs w:val="20"/>
        </w:rPr>
        <w:t>a) Execução de serviços de requalificação e/ou reforma de edificações hospitalares ou unidades de saúde, incluindo adequações físicas e funcionais às normas sanitárias e hospitalares;</w:t>
      </w:r>
    </w:p>
    <w:p w14:paraId="36D673B8" w14:textId="77777777" w:rsidR="004F743E" w:rsidRDefault="00004375" w:rsidP="00BB4A97">
      <w:pPr>
        <w:tabs>
          <w:tab w:val="left" w:pos="284"/>
        </w:tabs>
        <w:spacing w:beforeLines="80" w:before="192" w:afterLines="80" w:after="192" w:line="276" w:lineRule="auto"/>
        <w:ind w:left="284"/>
        <w:jc w:val="both"/>
        <w:rPr>
          <w:rFonts w:ascii="Tahoma" w:eastAsia="Arial" w:hAnsi="Tahoma" w:cs="Tahoma"/>
          <w:sz w:val="20"/>
          <w:szCs w:val="20"/>
        </w:rPr>
      </w:pPr>
      <w:r w:rsidRPr="004F743E">
        <w:rPr>
          <w:rFonts w:ascii="Tahoma" w:eastAsia="Arial" w:hAnsi="Tahoma" w:cs="Tahoma"/>
          <w:sz w:val="20"/>
          <w:szCs w:val="20"/>
        </w:rPr>
        <w:t>b) Execução de instalações prediais complexas, incluindo elétrica, hidrossanitária, gases medicinais, climatização e sistemas de prevenção e combate a incêndio;</w:t>
      </w:r>
    </w:p>
    <w:p w14:paraId="5DB7A4DE" w14:textId="27C7CB7E" w:rsidR="00D05504" w:rsidRPr="004F743E" w:rsidRDefault="00004375" w:rsidP="00BB4A97">
      <w:pPr>
        <w:tabs>
          <w:tab w:val="left" w:pos="284"/>
        </w:tabs>
        <w:spacing w:beforeLines="80" w:before="192" w:afterLines="80" w:after="192" w:line="276" w:lineRule="auto"/>
        <w:ind w:left="284"/>
        <w:jc w:val="both"/>
        <w:rPr>
          <w:rFonts w:ascii="Tahoma" w:eastAsia="Arial" w:hAnsi="Tahoma" w:cs="Tahoma"/>
          <w:sz w:val="20"/>
          <w:szCs w:val="20"/>
        </w:rPr>
      </w:pPr>
      <w:r w:rsidRPr="004F743E">
        <w:rPr>
          <w:rFonts w:ascii="Tahoma" w:eastAsia="Arial" w:hAnsi="Tahoma" w:cs="Tahoma"/>
          <w:sz w:val="20"/>
          <w:szCs w:val="20"/>
        </w:rPr>
        <w:t xml:space="preserve">c) Elaboração de projetos de engenharia e arquitetura integrados à execução de obras (modelagem integrada ou projeto executivo correlato). </w:t>
      </w:r>
    </w:p>
    <w:p w14:paraId="693CBDCD" w14:textId="77777777" w:rsidR="00D05504" w:rsidRPr="004F743E" w:rsidRDefault="00004375" w:rsidP="00BB4A97">
      <w:pPr>
        <w:tabs>
          <w:tab w:val="left" w:pos="284"/>
        </w:tabs>
        <w:spacing w:beforeLines="80" w:before="192" w:afterLines="80" w:after="192" w:line="276" w:lineRule="auto"/>
        <w:ind w:left="284"/>
        <w:jc w:val="both"/>
        <w:rPr>
          <w:rFonts w:ascii="Tahoma" w:eastAsia="Arial" w:hAnsi="Tahoma" w:cs="Tahoma"/>
          <w:sz w:val="20"/>
          <w:szCs w:val="20"/>
        </w:rPr>
      </w:pPr>
      <w:r w:rsidRPr="004F743E">
        <w:rPr>
          <w:rFonts w:ascii="Tahoma" w:eastAsia="Arial" w:hAnsi="Tahoma" w:cs="Tahoma"/>
          <w:sz w:val="20"/>
          <w:szCs w:val="20"/>
        </w:rPr>
        <w:lastRenderedPageBreak/>
        <w:t>d) Execução de fachadas com as características compatíveis às constantes no memorial descritivo.</w:t>
      </w:r>
    </w:p>
    <w:p w14:paraId="18C52376" w14:textId="4E9DE3B5" w:rsidR="001777D3" w:rsidRPr="004F743E" w:rsidRDefault="00004375" w:rsidP="00BB4A97">
      <w:pPr>
        <w:tabs>
          <w:tab w:val="left" w:pos="992"/>
          <w:tab w:val="left" w:pos="426"/>
        </w:tabs>
        <w:spacing w:beforeLines="80" w:before="192" w:afterLines="80" w:after="192" w:line="276" w:lineRule="auto"/>
        <w:ind w:left="141"/>
        <w:jc w:val="both"/>
        <w:rPr>
          <w:rFonts w:ascii="Tahoma" w:eastAsia="Arial" w:hAnsi="Tahoma" w:cs="Tahoma"/>
          <w:sz w:val="20"/>
          <w:szCs w:val="20"/>
        </w:rPr>
      </w:pPr>
      <w:r w:rsidRPr="004F743E">
        <w:rPr>
          <w:rFonts w:ascii="Tahoma" w:eastAsia="Arial" w:hAnsi="Tahoma" w:cs="Tahoma"/>
          <w:sz w:val="20"/>
          <w:szCs w:val="20"/>
        </w:rPr>
        <w:t>II) Apresentar atestado(s) de capacidade técnico-profissional em nome de profissional(</w:t>
      </w:r>
      <w:proofErr w:type="spellStart"/>
      <w:r w:rsidRPr="004F743E">
        <w:rPr>
          <w:rFonts w:ascii="Tahoma" w:eastAsia="Arial" w:hAnsi="Tahoma" w:cs="Tahoma"/>
          <w:sz w:val="20"/>
          <w:szCs w:val="20"/>
        </w:rPr>
        <w:t>is</w:t>
      </w:r>
      <w:proofErr w:type="spellEnd"/>
      <w:r w:rsidRPr="004F743E">
        <w:rPr>
          <w:rFonts w:ascii="Tahoma" w:eastAsia="Arial" w:hAnsi="Tahoma" w:cs="Tahoma"/>
          <w:sz w:val="20"/>
          <w:szCs w:val="20"/>
        </w:rPr>
        <w:t>) de nível superior integrante(s) do quadro permanente da empresa, devidamente registrado(s) no CREA/CAU, que comprove(m) ter atuado na execução de obras ou serviços com características técnicas equivalentes às descritas na alínea “a”, compatíveis com a natureza e complexidade do objeto desta licitação.</w:t>
      </w:r>
    </w:p>
    <w:p w14:paraId="34227603" w14:textId="1A356462" w:rsidR="004F743E" w:rsidRDefault="00004375" w:rsidP="00BB4A97">
      <w:pPr>
        <w:tabs>
          <w:tab w:val="left" w:pos="992"/>
          <w:tab w:val="left" w:pos="426"/>
        </w:tabs>
        <w:spacing w:beforeLines="80" w:before="192" w:afterLines="80" w:after="192" w:line="276" w:lineRule="auto"/>
        <w:ind w:left="141"/>
        <w:jc w:val="both"/>
        <w:rPr>
          <w:rFonts w:ascii="Tahoma" w:eastAsia="Arial" w:hAnsi="Tahoma" w:cs="Tahoma"/>
          <w:sz w:val="20"/>
          <w:szCs w:val="20"/>
        </w:rPr>
      </w:pPr>
      <w:r w:rsidRPr="004F743E">
        <w:rPr>
          <w:rFonts w:ascii="Tahoma" w:eastAsia="Arial" w:hAnsi="Tahoma" w:cs="Tahoma"/>
          <w:sz w:val="20"/>
          <w:szCs w:val="20"/>
        </w:rPr>
        <w:t>III) Comprovar o vínculo profissional com a empresa licitante mediante registro em carteira, contrato social, ou outro meio hábil, conforme art. 67, § 4º, da Lei nº 14.133/2021.</w:t>
      </w:r>
    </w:p>
    <w:p w14:paraId="5E80835E" w14:textId="4494C3C3" w:rsidR="004F743E" w:rsidRDefault="00004375" w:rsidP="00BB4A97">
      <w:pPr>
        <w:tabs>
          <w:tab w:val="left" w:pos="992"/>
          <w:tab w:val="left" w:pos="426"/>
        </w:tabs>
        <w:spacing w:beforeLines="80" w:before="192" w:afterLines="80" w:after="192" w:line="276" w:lineRule="auto"/>
        <w:ind w:left="141"/>
        <w:jc w:val="both"/>
        <w:rPr>
          <w:rFonts w:ascii="Tahoma" w:eastAsia="Arial" w:hAnsi="Tahoma" w:cs="Tahoma"/>
          <w:sz w:val="20"/>
          <w:szCs w:val="20"/>
        </w:rPr>
      </w:pPr>
      <w:r w:rsidRPr="004F743E">
        <w:rPr>
          <w:rFonts w:ascii="Tahoma" w:eastAsia="Arial" w:hAnsi="Tahoma" w:cs="Tahoma"/>
          <w:sz w:val="20"/>
          <w:szCs w:val="20"/>
        </w:rPr>
        <w:t xml:space="preserve">IV) Quando solicitado, apresentar certificações ou registros técnicos exigidos por normas específicas (CREA, CAU, Corpo de Bombeiros, Vigilância </w:t>
      </w:r>
      <w:proofErr w:type="gramStart"/>
      <w:r w:rsidRPr="004F743E">
        <w:rPr>
          <w:rFonts w:ascii="Tahoma" w:eastAsia="Arial" w:hAnsi="Tahoma" w:cs="Tahoma"/>
          <w:sz w:val="20"/>
          <w:szCs w:val="20"/>
        </w:rPr>
        <w:t>Sanitária, etc.</w:t>
      </w:r>
      <w:proofErr w:type="gramEnd"/>
      <w:r w:rsidRPr="004F743E">
        <w:rPr>
          <w:rFonts w:ascii="Tahoma" w:eastAsia="Arial" w:hAnsi="Tahoma" w:cs="Tahoma"/>
          <w:sz w:val="20"/>
          <w:szCs w:val="20"/>
        </w:rPr>
        <w:t>), compatíveis com o objeto licitado.</w:t>
      </w:r>
    </w:p>
    <w:p w14:paraId="5A4A438D" w14:textId="033C8A5D" w:rsidR="00D05504" w:rsidRPr="004F743E" w:rsidRDefault="00004375" w:rsidP="00BB4A97">
      <w:pPr>
        <w:tabs>
          <w:tab w:val="left" w:pos="992"/>
          <w:tab w:val="left" w:pos="426"/>
        </w:tabs>
        <w:spacing w:beforeLines="80" w:before="192" w:afterLines="80" w:after="192" w:line="276" w:lineRule="auto"/>
        <w:ind w:left="141"/>
        <w:jc w:val="both"/>
        <w:rPr>
          <w:rFonts w:ascii="Tahoma" w:eastAsia="Arial" w:hAnsi="Tahoma" w:cs="Tahoma"/>
          <w:sz w:val="20"/>
          <w:szCs w:val="20"/>
        </w:rPr>
      </w:pPr>
      <w:r w:rsidRPr="004F743E">
        <w:rPr>
          <w:rFonts w:ascii="Tahoma" w:eastAsia="Arial" w:hAnsi="Tahoma" w:cs="Tahoma"/>
          <w:sz w:val="20"/>
          <w:szCs w:val="20"/>
        </w:rPr>
        <w:t>9.37.5 Os atestados poderão ser somados para efeito de comprovação das parcelas de relevância, desde que relativos a serviços ou obras similares e compatíveis com o objeto.</w:t>
      </w:r>
    </w:p>
    <w:p w14:paraId="3AD8AEA9" w14:textId="77777777" w:rsidR="00D05504" w:rsidRPr="004F743E" w:rsidRDefault="00004375" w:rsidP="00BB4A97">
      <w:pPr>
        <w:numPr>
          <w:ilvl w:val="2"/>
          <w:numId w:val="14"/>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Definem-se como obras de porte e complexidade similares àquelas que apresentam grandezas e características técnicas semelhantes às descritas nas Especificações Técnicas e memorial descritivo.</w:t>
      </w:r>
    </w:p>
    <w:p w14:paraId="1FEB5579" w14:textId="77777777" w:rsidR="00D05504" w:rsidRPr="004F743E" w:rsidRDefault="00004375" w:rsidP="00BB4A97">
      <w:pPr>
        <w:numPr>
          <w:ilvl w:val="2"/>
          <w:numId w:val="14"/>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Deverá(</w:t>
      </w:r>
      <w:proofErr w:type="spellStart"/>
      <w:r w:rsidRPr="004F743E">
        <w:rPr>
          <w:rFonts w:ascii="Tahoma" w:eastAsia="Arial" w:hAnsi="Tahoma" w:cs="Tahoma"/>
          <w:sz w:val="20"/>
          <w:szCs w:val="20"/>
        </w:rPr>
        <w:t>ão</w:t>
      </w:r>
      <w:proofErr w:type="spellEnd"/>
      <w:r w:rsidRPr="004F743E">
        <w:rPr>
          <w:rFonts w:ascii="Tahoma" w:eastAsia="Arial" w:hAnsi="Tahoma" w:cs="Tahoma"/>
          <w:sz w:val="20"/>
          <w:szCs w:val="20"/>
        </w:rPr>
        <w:t>) constar do(s) atestado(s) ou da(s) certidão(</w:t>
      </w:r>
      <w:proofErr w:type="spellStart"/>
      <w:r w:rsidRPr="004F743E">
        <w:rPr>
          <w:rFonts w:ascii="Tahoma" w:eastAsia="Arial" w:hAnsi="Tahoma" w:cs="Tahoma"/>
          <w:sz w:val="20"/>
          <w:szCs w:val="20"/>
        </w:rPr>
        <w:t>ões</w:t>
      </w:r>
      <w:proofErr w:type="spellEnd"/>
      <w:r w:rsidRPr="004F743E">
        <w:rPr>
          <w:rFonts w:ascii="Tahoma" w:eastAsia="Arial" w:hAnsi="Tahoma" w:cs="Tahoma"/>
          <w:sz w:val="20"/>
          <w:szCs w:val="20"/>
        </w:rPr>
        <w:t>) expedida(s) pelo Conselho Regional de Engenharia e Agronomia – CREA e/ou Conselho de Arquitetura e Urbanismo – CAU, em destaque, os seguintes dados: local de execução, nome do contratante e da pessoa jurídica contratada, nome(s) do(s) responsável(</w:t>
      </w:r>
      <w:proofErr w:type="spellStart"/>
      <w:r w:rsidRPr="004F743E">
        <w:rPr>
          <w:rFonts w:ascii="Tahoma" w:eastAsia="Arial" w:hAnsi="Tahoma" w:cs="Tahoma"/>
          <w:sz w:val="20"/>
          <w:szCs w:val="20"/>
        </w:rPr>
        <w:t>is</w:t>
      </w:r>
      <w:proofErr w:type="spellEnd"/>
      <w:r w:rsidRPr="004F743E">
        <w:rPr>
          <w:rFonts w:ascii="Tahoma" w:eastAsia="Arial" w:hAnsi="Tahoma" w:cs="Tahoma"/>
          <w:sz w:val="20"/>
          <w:szCs w:val="20"/>
        </w:rPr>
        <w:t>) técnicos(s), seu(s) título(s) profissional(</w:t>
      </w:r>
      <w:proofErr w:type="spellStart"/>
      <w:r w:rsidRPr="004F743E">
        <w:rPr>
          <w:rFonts w:ascii="Tahoma" w:eastAsia="Arial" w:hAnsi="Tahoma" w:cs="Tahoma"/>
          <w:sz w:val="20"/>
          <w:szCs w:val="20"/>
        </w:rPr>
        <w:t>is</w:t>
      </w:r>
      <w:proofErr w:type="spellEnd"/>
      <w:r w:rsidRPr="004F743E">
        <w:rPr>
          <w:rFonts w:ascii="Tahoma" w:eastAsia="Arial" w:hAnsi="Tahoma" w:cs="Tahoma"/>
          <w:sz w:val="20"/>
          <w:szCs w:val="20"/>
        </w:rPr>
        <w:t>) e número(s) de registro(s) no Conselho Regional de Engenharia e Agronomia – CREA e/ou Conselho de Arquitetura e Urbanismo – CAU; descrição técnica sucinta indicando os serviços e quantitativos executados e o prazo final de execução;</w:t>
      </w:r>
    </w:p>
    <w:p w14:paraId="440AB440" w14:textId="77777777" w:rsidR="00D05504" w:rsidRPr="004F743E" w:rsidRDefault="00004375" w:rsidP="00BB4A97">
      <w:pPr>
        <w:numPr>
          <w:ilvl w:val="2"/>
          <w:numId w:val="14"/>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Comprovação de que a licitante possui em seu quadro permanente, na data da entrega da proposta, profissional qualificado, detentor de atestado de responsabilidade técnica, e devidamente registrado no Conselho Regional de Engenharia e Agronomia – CREA e/ou Conselho de Arquitetura e Urbanismo – CAU, acompanhado da respectiva Certidão de Acervo Técnico – CAT, expedida por este Conselho, que comprove ter o profissional executado serviço relativo à de Construção ou Requalificação de Hospitais, ou obras similares de porte e complexidade ao objeto desta licitação, conforme item 9.36.7;</w:t>
      </w:r>
    </w:p>
    <w:p w14:paraId="67E69267" w14:textId="77777777" w:rsidR="00D05504" w:rsidRPr="004F743E" w:rsidRDefault="00004375" w:rsidP="00BB4A97">
      <w:pPr>
        <w:numPr>
          <w:ilvl w:val="2"/>
          <w:numId w:val="14"/>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 xml:space="preserve">Entende-se, para fins deste Termo de Referência, como pertencente ao quadro permanente: </w:t>
      </w:r>
    </w:p>
    <w:p w14:paraId="138B6731" w14:textId="77777777" w:rsidR="00D05504" w:rsidRPr="004F743E" w:rsidRDefault="00004375" w:rsidP="00BB4A97">
      <w:pPr>
        <w:numPr>
          <w:ilvl w:val="0"/>
          <w:numId w:val="6"/>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 xml:space="preserve">o empregado; </w:t>
      </w:r>
    </w:p>
    <w:p w14:paraId="66027A3F" w14:textId="77777777" w:rsidR="00D05504" w:rsidRPr="004F743E" w:rsidRDefault="00004375" w:rsidP="00BB4A97">
      <w:pPr>
        <w:numPr>
          <w:ilvl w:val="0"/>
          <w:numId w:val="6"/>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 xml:space="preserve">o sócio; </w:t>
      </w:r>
    </w:p>
    <w:p w14:paraId="0818AC9D" w14:textId="77777777" w:rsidR="00D05504" w:rsidRPr="004F743E" w:rsidRDefault="00004375" w:rsidP="00BB4A97">
      <w:pPr>
        <w:numPr>
          <w:ilvl w:val="0"/>
          <w:numId w:val="6"/>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o detentor de contrato de prestação de serviço.</w:t>
      </w:r>
    </w:p>
    <w:p w14:paraId="35A2C1D3" w14:textId="77777777" w:rsidR="00D05504" w:rsidRPr="004F743E" w:rsidRDefault="00004375" w:rsidP="00BB4A97">
      <w:pPr>
        <w:numPr>
          <w:ilvl w:val="2"/>
          <w:numId w:val="14"/>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A licitante deverá comprovar através da juntada de cópia de: ficha ou livro de registro de empregado ou carteira de trabalho do profissional, que comprove a condição de pertencente ao quadro da licitante, do contrato social, que demonstre a condição de sócio do profissional, ou do contrato de prestação de serviço, celebrado de acordo com a legislação civil comum.</w:t>
      </w:r>
    </w:p>
    <w:p w14:paraId="3FF29DBC" w14:textId="77777777" w:rsidR="00D05504" w:rsidRPr="004F743E" w:rsidRDefault="00004375" w:rsidP="00BB4A97">
      <w:pPr>
        <w:numPr>
          <w:ilvl w:val="2"/>
          <w:numId w:val="14"/>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Quando se tratar de dirigente ou sócio da licitante tal comprovação será através do ato constitutivo da mesma.</w:t>
      </w:r>
    </w:p>
    <w:p w14:paraId="599A0638" w14:textId="77777777" w:rsidR="00D05504" w:rsidRPr="004F743E" w:rsidRDefault="00004375" w:rsidP="00BB4A97">
      <w:pPr>
        <w:numPr>
          <w:ilvl w:val="2"/>
          <w:numId w:val="14"/>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 xml:space="preserve">Quando se tratar de profissional mediante contrato de prestação de serviços, o mesmo deverá estar devidamente assinado pelo profissional e com firma reconhecida </w:t>
      </w:r>
      <w:r w:rsidRPr="004F743E">
        <w:rPr>
          <w:rFonts w:ascii="Tahoma" w:eastAsia="Arial" w:hAnsi="Tahoma" w:cs="Tahoma"/>
          <w:sz w:val="20"/>
          <w:szCs w:val="20"/>
          <w:highlight w:val="white"/>
        </w:rPr>
        <w:t xml:space="preserve">em cartório </w:t>
      </w:r>
      <w:r w:rsidRPr="004F743E">
        <w:rPr>
          <w:rFonts w:ascii="Tahoma" w:eastAsia="Arial" w:hAnsi="Tahoma" w:cs="Tahoma"/>
          <w:sz w:val="20"/>
          <w:szCs w:val="20"/>
        </w:rPr>
        <w:t>e constar no Registro ou inscrição da pessoa jurídica como responsável técnico.</w:t>
      </w:r>
    </w:p>
    <w:p w14:paraId="04ED72C8" w14:textId="77777777" w:rsidR="00D05504" w:rsidRPr="004F743E" w:rsidRDefault="00004375" w:rsidP="00BB4A97">
      <w:pPr>
        <w:numPr>
          <w:ilvl w:val="2"/>
          <w:numId w:val="14"/>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lastRenderedPageBreak/>
        <w:t>No caso de duas ou mais licitantes apresentarem atestados de um mesmo profissional como responsável técnico, como comprovação de qualificação técnica, ambas serão inabilitadas.</w:t>
      </w:r>
    </w:p>
    <w:p w14:paraId="24590D5E" w14:textId="77777777" w:rsidR="00D05504" w:rsidRPr="004F743E" w:rsidRDefault="00004375" w:rsidP="00BB4A97">
      <w:pPr>
        <w:numPr>
          <w:ilvl w:val="2"/>
          <w:numId w:val="14"/>
        </w:numPr>
        <w:pBdr>
          <w:top w:val="nil"/>
          <w:left w:val="nil"/>
          <w:bottom w:val="nil"/>
          <w:right w:val="nil"/>
          <w:between w:val="nil"/>
        </w:pBdr>
        <w:tabs>
          <w:tab w:val="left" w:pos="992"/>
          <w:tab w:val="left" w:pos="426"/>
        </w:tabs>
        <w:spacing w:beforeLines="80" w:before="192" w:afterLines="80" w:after="192" w:line="276" w:lineRule="auto"/>
        <w:ind w:left="141" w:firstLine="0"/>
        <w:jc w:val="both"/>
        <w:rPr>
          <w:rFonts w:ascii="Tahoma" w:eastAsia="Arial" w:hAnsi="Tahoma" w:cs="Tahoma"/>
          <w:sz w:val="20"/>
          <w:szCs w:val="20"/>
        </w:rPr>
      </w:pPr>
      <w:r w:rsidRPr="004F743E">
        <w:rPr>
          <w:rFonts w:ascii="Tahoma" w:eastAsia="Arial" w:hAnsi="Tahoma" w:cs="Tahoma"/>
          <w:sz w:val="20"/>
          <w:szCs w:val="20"/>
        </w:rPr>
        <w:t>Quanto a exigência mínima para a comprovação: QUALIFICAÇÃO TÉCNICA OPERACIONAL e CAPACIDADE TÉCNICO PROFISSIONAL já especificadas e definidas nos documentos presentes nos autos, são critérios especificados por serem amplos e em quantitativos mínimos aceitáveis não representam LIMITAÇÃO a competição entre empresas, somente resguardam a Administração de obter alguma qualificação mínima para a execução da obra, obedecendo as regras dispostas na Lei n.º 14.133/2021 define o procedimento para comprovação de qualificação técnica, em seu artigo 67, tem-se que:</w:t>
      </w:r>
    </w:p>
    <w:p w14:paraId="6C4DA25C" w14:textId="77777777" w:rsidR="00D05504" w:rsidRPr="004F743E" w:rsidRDefault="00004375" w:rsidP="00BB4A97">
      <w:pPr>
        <w:pBdr>
          <w:top w:val="nil"/>
          <w:left w:val="nil"/>
          <w:bottom w:val="nil"/>
          <w:right w:val="nil"/>
          <w:between w:val="nil"/>
        </w:pBdr>
        <w:tabs>
          <w:tab w:val="left" w:pos="992"/>
        </w:tabs>
        <w:spacing w:beforeLines="80" w:before="192" w:afterLines="80" w:after="192" w:line="276" w:lineRule="auto"/>
        <w:ind w:left="141" w:right="40"/>
        <w:jc w:val="both"/>
        <w:rPr>
          <w:rFonts w:ascii="Tahoma" w:eastAsia="Arial" w:hAnsi="Tahoma" w:cs="Tahoma"/>
          <w:sz w:val="20"/>
          <w:szCs w:val="20"/>
        </w:rPr>
      </w:pPr>
      <w:r w:rsidRPr="004F743E">
        <w:rPr>
          <w:rFonts w:ascii="Tahoma" w:eastAsia="Arial" w:hAnsi="Tahoma" w:cs="Tahoma"/>
          <w:sz w:val="20"/>
          <w:szCs w:val="20"/>
        </w:rPr>
        <w:t xml:space="preserve">“Art. 67. A documentação relativa à qualificação técnico-profissional e técnico-operacional será restrita a: </w:t>
      </w:r>
    </w:p>
    <w:p w14:paraId="795A928A" w14:textId="77777777" w:rsidR="00D05504" w:rsidRPr="004F743E" w:rsidRDefault="00004375" w:rsidP="00BB4A97">
      <w:pPr>
        <w:pBdr>
          <w:top w:val="nil"/>
          <w:left w:val="nil"/>
          <w:bottom w:val="nil"/>
          <w:right w:val="nil"/>
          <w:between w:val="nil"/>
        </w:pBdr>
        <w:spacing w:beforeLines="80" w:before="192" w:afterLines="80" w:after="192" w:line="276" w:lineRule="auto"/>
        <w:ind w:left="851" w:right="4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 - Apresentação de profissional, devidamente registrado no conselho profissional competente, quando for o caso, detentor de atestado de responsabilidade técnica por execução de obra ou serviço de características semelhantes, para fins de contratação; </w:t>
      </w:r>
    </w:p>
    <w:p w14:paraId="22B4A05C" w14:textId="77777777" w:rsidR="00D05504" w:rsidRPr="004F743E" w:rsidRDefault="00004375" w:rsidP="00BB4A97">
      <w:pPr>
        <w:pBdr>
          <w:top w:val="nil"/>
          <w:left w:val="nil"/>
          <w:bottom w:val="nil"/>
          <w:right w:val="nil"/>
          <w:between w:val="nil"/>
        </w:pBdr>
        <w:spacing w:beforeLines="80" w:before="192" w:afterLines="80" w:after="192" w:line="276" w:lineRule="auto"/>
        <w:ind w:left="851" w:right="40"/>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II - Certidões ou atestados, regularmente emitidos pelo conselho profissional competente, quando for o caso, que demonstrem capacidade operacional na execução de serviços similares de complexidade tecnológica e operacional equivalente ou superior, bem como documentos comprobatórios emitidos na forma do § 3º do art. 88 desta Lei; </w:t>
      </w:r>
    </w:p>
    <w:p w14:paraId="0678B661" w14:textId="77777777" w:rsidR="00D05504" w:rsidRPr="004F743E" w:rsidRDefault="00004375" w:rsidP="00BB4A97">
      <w:pPr>
        <w:pBdr>
          <w:top w:val="nil"/>
          <w:left w:val="nil"/>
          <w:bottom w:val="nil"/>
          <w:right w:val="nil"/>
          <w:between w:val="nil"/>
        </w:pBdr>
        <w:spacing w:beforeLines="80" w:before="192" w:afterLines="80" w:after="192" w:line="276" w:lineRule="auto"/>
        <w:ind w:left="851" w:right="40"/>
        <w:jc w:val="both"/>
        <w:rPr>
          <w:rFonts w:ascii="Tahoma" w:eastAsia="Arial" w:hAnsi="Tahoma" w:cs="Tahoma"/>
          <w:color w:val="000000"/>
          <w:sz w:val="20"/>
          <w:szCs w:val="20"/>
        </w:rPr>
      </w:pPr>
      <w:r w:rsidRPr="004F743E">
        <w:rPr>
          <w:rFonts w:ascii="Tahoma" w:eastAsia="Arial" w:hAnsi="Tahoma" w:cs="Tahoma"/>
          <w:color w:val="000000"/>
          <w:sz w:val="20"/>
          <w:szCs w:val="20"/>
        </w:rPr>
        <w:t>III - indicação do pessoal técnico, das instalações e do aparelhamento adequados e disponíveis para a realização do objeto da licitação, bem como da qualificação de cada membro da equipe técnica que se responsabilizará pelos trabalhos;</w:t>
      </w:r>
    </w:p>
    <w:p w14:paraId="797C2E48"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Será admitida, para fins de comprovação de quantitativo mínimo, a apresentação e o somatório de diferentes atestados executados de forma concomitante.</w:t>
      </w:r>
    </w:p>
    <w:p w14:paraId="2C088109" w14:textId="77777777" w:rsidR="00D05504" w:rsidRPr="004F743E" w:rsidRDefault="00004375" w:rsidP="00BB4A97">
      <w:pPr>
        <w:numPr>
          <w:ilvl w:val="2"/>
          <w:numId w:val="14"/>
        </w:numPr>
        <w:pBdr>
          <w:top w:val="nil"/>
          <w:left w:val="nil"/>
          <w:bottom w:val="nil"/>
          <w:right w:val="nil"/>
          <w:between w:val="nil"/>
        </w:pBdr>
        <w:tabs>
          <w:tab w:val="left" w:pos="426"/>
        </w:tabs>
        <w:spacing w:beforeLines="80" w:before="192" w:afterLines="80" w:after="192" w:line="276" w:lineRule="auto"/>
        <w:ind w:left="1134" w:hanging="787"/>
        <w:jc w:val="both"/>
        <w:rPr>
          <w:rFonts w:ascii="Tahoma" w:eastAsia="Arial" w:hAnsi="Tahoma" w:cs="Tahoma"/>
          <w:color w:val="000000"/>
          <w:sz w:val="20"/>
          <w:szCs w:val="20"/>
        </w:rPr>
      </w:pPr>
      <w:r w:rsidRPr="004F743E">
        <w:rPr>
          <w:rFonts w:ascii="Tahoma" w:eastAsia="Arial" w:hAnsi="Tahoma" w:cs="Tahoma"/>
          <w:color w:val="000000"/>
          <w:sz w:val="20"/>
          <w:szCs w:val="20"/>
        </w:rPr>
        <w:t>Os atestados de capacidade técnica poderão ser apresentados em nome da matriz ou da filial da empresa licitante.</w:t>
      </w:r>
    </w:p>
    <w:p w14:paraId="5D4AF9EE" w14:textId="77777777" w:rsidR="00D05504" w:rsidRDefault="00004375" w:rsidP="00BB4A97">
      <w:pPr>
        <w:numPr>
          <w:ilvl w:val="2"/>
          <w:numId w:val="14"/>
        </w:numPr>
        <w:pBdr>
          <w:top w:val="nil"/>
          <w:left w:val="nil"/>
          <w:bottom w:val="nil"/>
          <w:right w:val="nil"/>
          <w:between w:val="nil"/>
        </w:pBdr>
        <w:tabs>
          <w:tab w:val="left" w:pos="426"/>
        </w:tabs>
        <w:spacing w:beforeLines="80" w:before="192" w:afterLines="80" w:after="192" w:line="276" w:lineRule="auto"/>
        <w:ind w:left="1134" w:hanging="787"/>
        <w:jc w:val="both"/>
        <w:rPr>
          <w:rFonts w:ascii="Tahoma" w:eastAsia="Arial" w:hAnsi="Tahoma" w:cs="Tahoma"/>
          <w:color w:val="000000"/>
          <w:sz w:val="20"/>
          <w:szCs w:val="20"/>
        </w:rPr>
      </w:pPr>
      <w:r w:rsidRPr="004F743E">
        <w:rPr>
          <w:rFonts w:ascii="Tahoma" w:eastAsia="Arial" w:hAnsi="Tahoma" w:cs="Tahoma"/>
          <w:color w:val="000000"/>
          <w:sz w:val="20"/>
          <w:szCs w:val="20"/>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7615A7E0" w14:textId="26A9F6B3" w:rsidR="00732AC8" w:rsidRPr="00240317" w:rsidRDefault="00240317" w:rsidP="00BB4A97">
      <w:pPr>
        <w:pBdr>
          <w:top w:val="nil"/>
          <w:left w:val="nil"/>
          <w:bottom w:val="nil"/>
          <w:right w:val="nil"/>
          <w:between w:val="nil"/>
        </w:pBdr>
        <w:tabs>
          <w:tab w:val="left" w:pos="426"/>
        </w:tabs>
        <w:spacing w:beforeLines="80" w:before="192" w:afterLines="80" w:after="192" w:line="276" w:lineRule="auto"/>
        <w:ind w:left="347"/>
        <w:jc w:val="both"/>
        <w:rPr>
          <w:rFonts w:ascii="Tahoma" w:eastAsia="Arial" w:hAnsi="Tahoma" w:cs="Tahoma"/>
          <w:b/>
          <w:bCs/>
          <w:i/>
          <w:iCs/>
          <w:color w:val="000000"/>
          <w:sz w:val="18"/>
          <w:szCs w:val="18"/>
        </w:rPr>
      </w:pPr>
      <w:r w:rsidRPr="00240317">
        <w:rPr>
          <w:rFonts w:ascii="Tahoma" w:eastAsia="Arial" w:hAnsi="Tahoma" w:cs="Tahoma"/>
          <w:b/>
          <w:bCs/>
          <w:i/>
          <w:iCs/>
          <w:color w:val="000000"/>
          <w:sz w:val="18"/>
          <w:szCs w:val="18"/>
        </w:rPr>
        <w:t>NOTA: As exigências de qualificação técnica foram definidas de forma motivada, guardando pertinência direta com o objeto e limitando-se ao mínimo indispensável para assegurar a adequada execução da requalificação das instalações hospitalares, que envolve serviços de manutenção, reestruturação e construção. Tais requisitos visam garantir conformidade técnica, segurança, continuidade do serviço público e mitigação do risco de inadimplemento, sem criar barreiras indevidas à participação de licitantes. Assim, mantêm-se proporcionais, razoáveis e justificadas, preservando a ampla competitividade e a seleção da proposta mais vantajosa, em conformidade com a Lei nº 14.133/2021 e princípios aplicáveis às contratações públicas.</w:t>
      </w:r>
    </w:p>
    <w:p w14:paraId="2062FA20"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426"/>
        <w:jc w:val="both"/>
        <w:rPr>
          <w:rFonts w:ascii="Tahoma" w:eastAsia="Arial" w:hAnsi="Tahoma" w:cs="Tahoma"/>
          <w:color w:val="000000"/>
          <w:sz w:val="20"/>
          <w:szCs w:val="20"/>
        </w:rPr>
      </w:pPr>
      <w:r w:rsidRPr="004F743E">
        <w:rPr>
          <w:rFonts w:ascii="Tahoma" w:eastAsia="Arial" w:hAnsi="Tahoma" w:cs="Tahoma"/>
          <w:color w:val="000000"/>
          <w:sz w:val="20"/>
          <w:szCs w:val="20"/>
        </w:rPr>
        <w:t>Não será admitida a participação de cooperativas:</w:t>
      </w:r>
    </w:p>
    <w:p w14:paraId="10226F3A" w14:textId="1E137F80" w:rsidR="00D05504" w:rsidRPr="004F743E" w:rsidRDefault="00004375" w:rsidP="00BB4A97">
      <w:pPr>
        <w:numPr>
          <w:ilvl w:val="2"/>
          <w:numId w:val="14"/>
        </w:numPr>
        <w:pBdr>
          <w:top w:val="nil"/>
          <w:left w:val="nil"/>
          <w:bottom w:val="nil"/>
          <w:right w:val="nil"/>
          <w:between w:val="nil"/>
        </w:pBdr>
        <w:tabs>
          <w:tab w:val="left" w:pos="426"/>
        </w:tabs>
        <w:spacing w:beforeLines="80" w:before="192" w:afterLines="80" w:after="192" w:line="276" w:lineRule="auto"/>
        <w:ind w:left="1134" w:hanging="787"/>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Considerando que o objeto da presente licitação </w:t>
      </w:r>
      <w:r w:rsidR="00732AC8" w:rsidRPr="004F743E">
        <w:rPr>
          <w:rFonts w:ascii="Tahoma" w:eastAsia="Arial" w:hAnsi="Tahoma" w:cs="Tahoma"/>
          <w:color w:val="000000"/>
          <w:sz w:val="20"/>
          <w:szCs w:val="20"/>
        </w:rPr>
        <w:t>se refere</w:t>
      </w:r>
      <w:r w:rsidRPr="004F743E">
        <w:rPr>
          <w:rFonts w:ascii="Tahoma" w:eastAsia="Arial" w:hAnsi="Tahoma" w:cs="Tahoma"/>
          <w:color w:val="000000"/>
          <w:sz w:val="20"/>
          <w:szCs w:val="20"/>
        </w:rPr>
        <w:t xml:space="preserve"> à execução de projetos e obra de engenharia para a requalificação de Hospital, com todas as exigências técnicas, responsabilidades contratuais e garantias de execução  de contrato de obra pública, não será admitida a participação de sociedades cooperativas, nos termos do entendimento consolidado pelos tribunais de contas e pelo Judiciário.</w:t>
      </w:r>
    </w:p>
    <w:p w14:paraId="1411B022" w14:textId="77777777" w:rsidR="00D05504" w:rsidRPr="004F743E" w:rsidRDefault="00004375" w:rsidP="00BB4A97">
      <w:pPr>
        <w:numPr>
          <w:ilvl w:val="2"/>
          <w:numId w:val="14"/>
        </w:numPr>
        <w:pBdr>
          <w:top w:val="nil"/>
          <w:left w:val="nil"/>
          <w:bottom w:val="nil"/>
          <w:right w:val="nil"/>
          <w:between w:val="nil"/>
        </w:pBdr>
        <w:tabs>
          <w:tab w:val="left" w:pos="426"/>
        </w:tabs>
        <w:spacing w:beforeLines="80" w:before="192" w:afterLines="80" w:after="192" w:line="276" w:lineRule="auto"/>
        <w:ind w:left="1134" w:hanging="787"/>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O modelo cooperativista, conforme previsto na Lei N. 5.764/71, tem finalidade principal a prestação de serviços aos seus próprios cooperados, não sendo vocacionado, por sua natureza jurídica e regime de funcionamento, para assumir obrigações contratuais típicas de empreitada de obras públicas, que exigem capacidade técnica, responsabilidade civil objetiva e garantias de execução. Além disso, a contratação de cooperativas em certames dessa natureza pode configurar terceirização irregular de mão de obra, além de violar os princípios da isonomia e da competitividade.</w:t>
      </w:r>
    </w:p>
    <w:p w14:paraId="059EB457" w14:textId="77777777" w:rsidR="00D05504" w:rsidRPr="004F743E" w:rsidRDefault="00004375" w:rsidP="00BB4A97">
      <w:pPr>
        <w:numPr>
          <w:ilvl w:val="2"/>
          <w:numId w:val="14"/>
        </w:numPr>
        <w:pBdr>
          <w:top w:val="nil"/>
          <w:left w:val="nil"/>
          <w:bottom w:val="nil"/>
          <w:right w:val="nil"/>
          <w:between w:val="nil"/>
        </w:pBdr>
        <w:tabs>
          <w:tab w:val="left" w:pos="426"/>
        </w:tabs>
        <w:spacing w:beforeLines="80" w:before="192" w:afterLines="80" w:after="192" w:line="276" w:lineRule="auto"/>
        <w:ind w:left="1134" w:hanging="787"/>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Diante desse contexto, e em consonância com o princípio da legalidade e da </w:t>
      </w:r>
      <w:r w:rsidRPr="004F743E">
        <w:rPr>
          <w:rFonts w:ascii="Tahoma" w:eastAsia="Arial" w:hAnsi="Tahoma" w:cs="Tahoma"/>
          <w:sz w:val="20"/>
          <w:szCs w:val="20"/>
        </w:rPr>
        <w:t>s</w:t>
      </w:r>
      <w:r w:rsidRPr="004F743E">
        <w:rPr>
          <w:rFonts w:ascii="Tahoma" w:eastAsia="Arial" w:hAnsi="Tahoma" w:cs="Tahoma"/>
          <w:color w:val="000000"/>
          <w:sz w:val="20"/>
          <w:szCs w:val="20"/>
        </w:rPr>
        <w:t>eleção da proposta mais vantajosa para Administração, a participação de cooperativas não será permitida no presente certame, por se tratar de contratação de natureza técnica especializada, que exige a assunção de riscos, responsabilidades técnicas e garantias contratuais não compatíveis com a natureza jurídica e operacional dessas entidades.</w:t>
      </w:r>
    </w:p>
    <w:p w14:paraId="23CC2D43"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Da qualificação da Subcontratação</w:t>
      </w:r>
    </w:p>
    <w:p w14:paraId="6AF13276"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9.40 O interessado que pretenda subcontratar parte da execução da obra deverá apresentar, antes da formalização do contrato ou no momento da sua indicação durante a execução, os seguintes documentos relativos </w:t>
      </w:r>
      <w:r w:rsidRPr="004F743E">
        <w:rPr>
          <w:rFonts w:ascii="Tahoma" w:eastAsia="Arial" w:hAnsi="Tahoma" w:cs="Tahoma"/>
          <w:sz w:val="20"/>
          <w:szCs w:val="20"/>
        </w:rPr>
        <w:t>à empresa</w:t>
      </w:r>
      <w:r w:rsidRPr="004F743E">
        <w:rPr>
          <w:rFonts w:ascii="Tahoma" w:eastAsia="Arial" w:hAnsi="Tahoma" w:cs="Tahoma"/>
          <w:color w:val="000000"/>
          <w:sz w:val="20"/>
          <w:szCs w:val="20"/>
        </w:rPr>
        <w:t xml:space="preserve"> subcontratada, compatíveis com o objeto da subcontratação:</w:t>
      </w:r>
    </w:p>
    <w:p w14:paraId="4229D1E0"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a) Habilitação jurídica, conforme art. 67 da Lei nº 14.133/2021;</w:t>
      </w:r>
    </w:p>
    <w:p w14:paraId="596565B3"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b) Regularidade fiscal e trabalhista, nos termos dos arts. 69 </w:t>
      </w:r>
      <w:proofErr w:type="gramStart"/>
      <w:r w:rsidRPr="004F743E">
        <w:rPr>
          <w:rFonts w:ascii="Tahoma" w:eastAsia="Arial" w:hAnsi="Tahoma" w:cs="Tahoma"/>
          <w:color w:val="000000"/>
          <w:sz w:val="20"/>
          <w:szCs w:val="20"/>
        </w:rPr>
        <w:t>à</w:t>
      </w:r>
      <w:proofErr w:type="gramEnd"/>
      <w:r w:rsidRPr="004F743E">
        <w:rPr>
          <w:rFonts w:ascii="Tahoma" w:eastAsia="Arial" w:hAnsi="Tahoma" w:cs="Tahoma"/>
          <w:color w:val="000000"/>
          <w:sz w:val="20"/>
          <w:szCs w:val="20"/>
        </w:rPr>
        <w:t xml:space="preserve"> 71 da Lei nº 14.133/2021;</w:t>
      </w:r>
    </w:p>
    <w:p w14:paraId="21FB7060"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c) Qualificação técnica, conforme art. 74 da Lei nº 14.133/2021, compatível com parcela a ser subcontratada;</w:t>
      </w:r>
    </w:p>
    <w:p w14:paraId="4612DF60"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d) Qualificação econômico-financeira, quando aplicável, nos termos do art. 75 da Lei nº 14.133/2021.</w:t>
      </w:r>
    </w:p>
    <w:p w14:paraId="5D10512C"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e) Comprovação do cumprimento do disposto no inciso XXXIII do </w:t>
      </w:r>
      <w:proofErr w:type="spellStart"/>
      <w:r w:rsidRPr="004F743E">
        <w:rPr>
          <w:rFonts w:ascii="Tahoma" w:eastAsia="Arial" w:hAnsi="Tahoma" w:cs="Tahoma"/>
          <w:color w:val="000000"/>
          <w:sz w:val="20"/>
          <w:szCs w:val="20"/>
        </w:rPr>
        <w:t>art</w:t>
      </w:r>
      <w:proofErr w:type="spellEnd"/>
      <w:r w:rsidRPr="004F743E">
        <w:rPr>
          <w:rFonts w:ascii="Tahoma" w:eastAsia="Arial" w:hAnsi="Tahoma" w:cs="Tahoma"/>
          <w:color w:val="000000"/>
          <w:sz w:val="20"/>
          <w:szCs w:val="20"/>
        </w:rPr>
        <w:t>, 7º da Constituição Federal, quanto à vedação ao trabalho noturno, perigoso e insalubre a menores de dezoito e de qualquer trabalho a menores de dezesseis anos, salvo na condição de aprendiz, a partir dos quatorze anos.</w:t>
      </w:r>
    </w:p>
    <w:p w14:paraId="61400F15"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9.41 A não apresentação da documentação exigida para habilitação ensejará </w:t>
      </w:r>
      <w:r w:rsidRPr="004F743E">
        <w:rPr>
          <w:rFonts w:ascii="Tahoma" w:eastAsia="Arial" w:hAnsi="Tahoma" w:cs="Tahoma"/>
          <w:sz w:val="20"/>
          <w:szCs w:val="20"/>
        </w:rPr>
        <w:t>a inabilitação</w:t>
      </w:r>
      <w:r w:rsidRPr="004F743E">
        <w:rPr>
          <w:rFonts w:ascii="Tahoma" w:eastAsia="Arial" w:hAnsi="Tahoma" w:cs="Tahoma"/>
          <w:color w:val="000000"/>
          <w:sz w:val="20"/>
          <w:szCs w:val="20"/>
        </w:rPr>
        <w:t xml:space="preserve"> do participante;</w:t>
      </w:r>
    </w:p>
    <w:p w14:paraId="718F716B"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a) A apresentação de documentos com prazo de validade vencido, na data fixada para apresentação da proposta de subcontratação;</w:t>
      </w:r>
    </w:p>
    <w:p w14:paraId="26FEF914"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b) A substituição de documentos exigidos para habilitação por protocolos de requerimento de certidão;</w:t>
      </w:r>
    </w:p>
    <w:p w14:paraId="1EA63AA0"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c)A apresentação d e documentos que contenham informações inverídicas;</w:t>
      </w:r>
    </w:p>
    <w:p w14:paraId="6A23D51A"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d) A mesclagem de documentos de regularidade fiscal, social e trabalhista de estabelecimentos diversos, exceto a prova de regularidade para com a Fazenda Federal conjunta com a Seguridade Social, para com o FGTS e para com a Justiça do trabalho;</w:t>
      </w:r>
    </w:p>
    <w:p w14:paraId="7BB3437F"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e) O não cumprimento dos requisitos de habilitação.</w:t>
      </w:r>
    </w:p>
    <w:p w14:paraId="27316569" w14:textId="77777777" w:rsidR="00D05504" w:rsidRPr="004F743E" w:rsidRDefault="00004375" w:rsidP="00BB4A97">
      <w:pPr>
        <w:pBdr>
          <w:top w:val="nil"/>
          <w:left w:val="nil"/>
          <w:bottom w:val="nil"/>
          <w:right w:val="nil"/>
          <w:between w:val="nil"/>
        </w:pBdr>
        <w:tabs>
          <w:tab w:val="left" w:pos="426"/>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9.41.1 O não atendimento às diligências, quando solicitadas, dentro do prazo estabelecido.</w:t>
      </w:r>
    </w:p>
    <w:p w14:paraId="482C2453" w14:textId="77777777" w:rsidR="00D05504"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b/>
          <w:color w:val="000000"/>
          <w:sz w:val="20"/>
          <w:szCs w:val="20"/>
        </w:rPr>
        <w:t>ESTIMATIVAS DO VALOR DA CONTRATAÇÃO</w:t>
      </w:r>
    </w:p>
    <w:p w14:paraId="607A70B9" w14:textId="77777777" w:rsidR="00D05504" w:rsidRPr="004F743E" w:rsidRDefault="00004375" w:rsidP="00BB4A97">
      <w:pPr>
        <w:numPr>
          <w:ilvl w:val="1"/>
          <w:numId w:val="4"/>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O custo estimado total da contratação é d</w:t>
      </w:r>
      <w:r w:rsidRPr="004F743E">
        <w:rPr>
          <w:rFonts w:ascii="Tahoma" w:eastAsia="Arial" w:hAnsi="Tahoma" w:cs="Tahoma"/>
          <w:sz w:val="20"/>
          <w:szCs w:val="20"/>
        </w:rPr>
        <w:t xml:space="preserve">e R$ </w:t>
      </w:r>
      <w:r w:rsidRPr="004F743E">
        <w:rPr>
          <w:rFonts w:ascii="Tahoma" w:eastAsia="Arial" w:hAnsi="Tahoma" w:cs="Tahoma"/>
          <w:sz w:val="20"/>
          <w:szCs w:val="20"/>
          <w:highlight w:val="white"/>
        </w:rPr>
        <w:t>5.565.248,50 (cinco milhões, quinhentos e sessenta e cinco, duzentos e quarenta e oito reais e cinquenta centavos)</w:t>
      </w:r>
      <w:r w:rsidRPr="004F743E">
        <w:rPr>
          <w:rFonts w:ascii="Tahoma" w:eastAsia="Arial" w:hAnsi="Tahoma" w:cs="Tahoma"/>
          <w:sz w:val="20"/>
          <w:szCs w:val="20"/>
        </w:rPr>
        <w:t>, conforme custos unitários apostos no Anexo I</w:t>
      </w:r>
      <w:r w:rsidRPr="004F743E">
        <w:rPr>
          <w:rFonts w:ascii="Tahoma" w:eastAsia="Arial" w:hAnsi="Tahoma" w:cs="Tahoma"/>
          <w:color w:val="FF0000"/>
          <w:sz w:val="20"/>
          <w:szCs w:val="20"/>
        </w:rPr>
        <w:t>.</w:t>
      </w:r>
    </w:p>
    <w:p w14:paraId="349247F8" w14:textId="77777777" w:rsidR="00D05504" w:rsidRPr="004F743E" w:rsidRDefault="00004375" w:rsidP="00BB4A97">
      <w:pPr>
        <w:numPr>
          <w:ilvl w:val="1"/>
          <w:numId w:val="4"/>
        </w:num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A estimativa de custo levou em consideração o risco envolvido na contratação e sua alocação entre contratante e contratado, conforme especificado na matriz de risco constante do Contrato.</w:t>
      </w:r>
    </w:p>
    <w:p w14:paraId="27DE8F51" w14:textId="77777777" w:rsidR="00D05504" w:rsidRPr="004F743E" w:rsidRDefault="00004375" w:rsidP="00BB4A97">
      <w:pPr>
        <w:numPr>
          <w:ilvl w:val="0"/>
          <w:numId w:val="14"/>
        </w:numPr>
        <w:pBdr>
          <w:top w:val="nil"/>
          <w:left w:val="nil"/>
          <w:bottom w:val="nil"/>
          <w:right w:val="nil"/>
          <w:between w:val="nil"/>
        </w:pBdr>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DAS OBRIGAÇÕES:</w:t>
      </w:r>
    </w:p>
    <w:p w14:paraId="202CD7D7"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11.1Da contratada</w:t>
      </w:r>
    </w:p>
    <w:p w14:paraId="73611C88"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11.1.1 A contratada deve cumprir todas as obrigações do Termo de Referência e sua proposta de preços, assumindo como exclusivamente seus os riscos e as despesas decorrentes da boa e perfeita execução do objeto e ainda:</w:t>
      </w:r>
    </w:p>
    <w:p w14:paraId="6F908DE8" w14:textId="6DC200AC"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11.1.2 Executar </w:t>
      </w:r>
      <w:r w:rsidRPr="004F743E">
        <w:rPr>
          <w:rFonts w:ascii="Tahoma" w:eastAsia="Arial" w:hAnsi="Tahoma" w:cs="Tahoma"/>
          <w:sz w:val="20"/>
          <w:szCs w:val="20"/>
        </w:rPr>
        <w:t>adequadamente</w:t>
      </w:r>
      <w:r w:rsidRPr="004F743E">
        <w:rPr>
          <w:rFonts w:ascii="Tahoma" w:eastAsia="Arial" w:hAnsi="Tahoma" w:cs="Tahoma"/>
          <w:color w:val="000000"/>
          <w:sz w:val="20"/>
          <w:szCs w:val="20"/>
        </w:rPr>
        <w:t xml:space="preserve"> os serviços descritos na </w:t>
      </w:r>
      <w:r w:rsidRPr="004F743E">
        <w:rPr>
          <w:rFonts w:ascii="Tahoma" w:eastAsia="Arial" w:hAnsi="Tahoma" w:cs="Tahoma"/>
          <w:sz w:val="20"/>
          <w:szCs w:val="20"/>
        </w:rPr>
        <w:t>Cláusula</w:t>
      </w:r>
      <w:r w:rsidRPr="004F743E">
        <w:rPr>
          <w:rFonts w:ascii="Tahoma" w:eastAsia="Arial" w:hAnsi="Tahoma" w:cs="Tahoma"/>
          <w:color w:val="000000"/>
          <w:sz w:val="20"/>
          <w:szCs w:val="20"/>
        </w:rPr>
        <w:t xml:space="preserve"> correspondentes do presente contrato, dentro dos melhores parâmetros de qualidade estabelecidos para </w:t>
      </w:r>
      <w:r w:rsidR="00240317" w:rsidRPr="004F743E">
        <w:rPr>
          <w:rFonts w:ascii="Tahoma" w:eastAsia="Arial" w:hAnsi="Tahoma" w:cs="Tahoma"/>
          <w:color w:val="000000"/>
          <w:sz w:val="20"/>
          <w:szCs w:val="20"/>
        </w:rPr>
        <w:t>os ramos</w:t>
      </w:r>
      <w:r w:rsidRPr="004F743E">
        <w:rPr>
          <w:rFonts w:ascii="Tahoma" w:eastAsia="Arial" w:hAnsi="Tahoma" w:cs="Tahoma"/>
          <w:color w:val="000000"/>
          <w:sz w:val="20"/>
          <w:szCs w:val="20"/>
        </w:rPr>
        <w:t xml:space="preserve"> das atividades relacionada ao objeto contratual, com observância </w:t>
      </w:r>
      <w:r w:rsidRPr="004F743E">
        <w:rPr>
          <w:rFonts w:ascii="Tahoma" w:eastAsia="Arial" w:hAnsi="Tahoma" w:cs="Tahoma"/>
          <w:sz w:val="20"/>
          <w:szCs w:val="20"/>
        </w:rPr>
        <w:t>aos prazos</w:t>
      </w:r>
      <w:r w:rsidRPr="004F743E">
        <w:rPr>
          <w:rFonts w:ascii="Tahoma" w:eastAsia="Arial" w:hAnsi="Tahoma" w:cs="Tahoma"/>
          <w:color w:val="000000"/>
          <w:sz w:val="20"/>
          <w:szCs w:val="20"/>
        </w:rPr>
        <w:t xml:space="preserve"> estipulados;</w:t>
      </w:r>
    </w:p>
    <w:p w14:paraId="17A0EAE7"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11.1.3 Efetuar a execução do objeto em perfeitas condições, conforme especificações, prazo e local constantes no Termo de Referência e sua proposta, acompanhado da respectiva nota fiscal, na qual constarão as indicações referentes a marca;</w:t>
      </w:r>
    </w:p>
    <w:p w14:paraId="13606FDF"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11.1.4 Responsabilizar-se pelos danos e vícios decorrentes do objeto, de acordo com os artigos 12,13 e 17 a 27 do  Código de Defesa do Consumidor;</w:t>
      </w:r>
    </w:p>
    <w:p w14:paraId="75B06A37"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11.1.5 Substituir, reparar ou corrigir às suas expensas, no prazo fixado no presente Termos de Referência, o objeto </w:t>
      </w:r>
      <w:r w:rsidRPr="004F743E">
        <w:rPr>
          <w:rFonts w:ascii="Tahoma" w:eastAsia="Arial" w:hAnsi="Tahoma" w:cs="Tahoma"/>
          <w:sz w:val="20"/>
          <w:szCs w:val="20"/>
        </w:rPr>
        <w:t>com avarias</w:t>
      </w:r>
      <w:r w:rsidRPr="004F743E">
        <w:rPr>
          <w:rFonts w:ascii="Tahoma" w:eastAsia="Arial" w:hAnsi="Tahoma" w:cs="Tahoma"/>
          <w:color w:val="000000"/>
          <w:sz w:val="20"/>
          <w:szCs w:val="20"/>
        </w:rPr>
        <w:t xml:space="preserve"> ou defeitos;</w:t>
      </w:r>
    </w:p>
    <w:p w14:paraId="0BE7C6A1"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11.1.6 Comunicar à Contratante, no prazo máximo de 72 (setenta e duas) horas que antecede a data a execução, os motivos que impossibilitem o cumprimento do prazo previsto, com devida comprovação;</w:t>
      </w:r>
    </w:p>
    <w:p w14:paraId="55BBD1B3"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11.1.7 Manter, durante toda a execução do contrato, em compatibilidade com as obrigações assumidas, todas as condições de habilitação e qualificação exigidas na licitação;</w:t>
      </w:r>
    </w:p>
    <w:p w14:paraId="2168973F"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11.1.8 Indicar preposto para representá-la durante a execução do contrato;</w:t>
      </w:r>
    </w:p>
    <w:p w14:paraId="447F0FD9"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11.1.9 Executar todas as obrigações assumidas com a observância a melhor técnica vigente, enquadrando se rigorosamente, dentro dos preceitos legais, normas e especificações técnicas correspondentes;</w:t>
      </w:r>
    </w:p>
    <w:p w14:paraId="598FC801"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11.1.10 Arcar com todas as despesas decorrentes da contratação, inclusive materiais de consumo, equipamentos utilizados </w:t>
      </w:r>
      <w:r w:rsidRPr="004F743E">
        <w:rPr>
          <w:rFonts w:ascii="Tahoma" w:eastAsia="Arial" w:hAnsi="Tahoma" w:cs="Tahoma"/>
          <w:sz w:val="20"/>
          <w:szCs w:val="20"/>
        </w:rPr>
        <w:t>para</w:t>
      </w:r>
      <w:r w:rsidRPr="004F743E">
        <w:rPr>
          <w:rFonts w:ascii="Tahoma" w:eastAsia="Arial" w:hAnsi="Tahoma" w:cs="Tahoma"/>
          <w:color w:val="000000"/>
          <w:sz w:val="20"/>
          <w:szCs w:val="20"/>
        </w:rPr>
        <w:t xml:space="preserve"> a prestação de serviços, bem como as despesas </w:t>
      </w:r>
      <w:r w:rsidRPr="004F743E">
        <w:rPr>
          <w:rFonts w:ascii="Tahoma" w:eastAsia="Arial" w:hAnsi="Tahoma" w:cs="Tahoma"/>
          <w:sz w:val="20"/>
          <w:szCs w:val="20"/>
        </w:rPr>
        <w:t>com insumos</w:t>
      </w:r>
      <w:r w:rsidRPr="004F743E">
        <w:rPr>
          <w:rFonts w:ascii="Tahoma" w:eastAsia="Arial" w:hAnsi="Tahoma" w:cs="Tahoma"/>
          <w:color w:val="000000"/>
          <w:sz w:val="20"/>
          <w:szCs w:val="20"/>
        </w:rPr>
        <w:t>, materiais, transporte, deslocamento e mão de obra, encargos trabalhistas, previdenciários e tributários decorrentes da execução do contrato, cabendo-lhe ainda a inteira responsabilidade (civil e penal), por quaisquer danos a terceiros, provenientes de negligência resultante da prestação de serviço,</w:t>
      </w:r>
    </w:p>
    <w:p w14:paraId="0F64CD07"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11.2 Da Contratante:</w:t>
      </w:r>
    </w:p>
    <w:p w14:paraId="291A49CE"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11.2.1 Receber o objeto no prazo e condições estabelecidas no contrato;</w:t>
      </w:r>
    </w:p>
    <w:p w14:paraId="708E2984"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11.2.2 Verificar minuciosamente, no prazo fixado, a conformidade dos bens recebidos provisoriamente com as especificações constantes no contrato e da proposta, para fins de aceitação e recebimento definitivo;</w:t>
      </w:r>
    </w:p>
    <w:p w14:paraId="18DBAA50"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11.2.3 Comunicar à Contratada, por escrito, sobre imperfeições, falhas ou irregularidades verificadas no objeto fornecido, para que seja substituído, reparado ou corrigido;</w:t>
      </w:r>
    </w:p>
    <w:p w14:paraId="3E216E31"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11.2.4 Acompanhar e fiscalizar o cumprimento das obrigações da Contratada, através de comissão/servidor especialmente designado;</w:t>
      </w:r>
    </w:p>
    <w:p w14:paraId="238D314F"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lastRenderedPageBreak/>
        <w:t>11.2.5 Efetuar pagamento à contratada no valor correspondente ao fornecimento do objeto, no prazo e forma estabelecidos no Edital e seus anexos;</w:t>
      </w:r>
    </w:p>
    <w:p w14:paraId="7AA95F90"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11.2.6 A Administração não responderá por quaisquer compromissos assumidos pela contratada com terceiros, ainda que vinculados à execução do Termo do Contrato, bem como por qualquer dano causado a terceiros em decorrência de ato da Contratada, de seus empregados, prepostos e subordinados;</w:t>
      </w:r>
    </w:p>
    <w:p w14:paraId="4EC41C89"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11.2.7 O direito de paralisar ou suspender a qualquer momento a execução do contrato, caso haja qualquer infringência das normas legais ou procedimentos aplicados.</w:t>
      </w:r>
    </w:p>
    <w:p w14:paraId="6F16EDED" w14:textId="77777777" w:rsidR="00D05504" w:rsidRPr="004F743E" w:rsidRDefault="00004375" w:rsidP="00BB4A97">
      <w:pPr>
        <w:numPr>
          <w:ilvl w:val="0"/>
          <w:numId w:val="14"/>
        </w:numPr>
        <w:pBdr>
          <w:top w:val="nil"/>
          <w:left w:val="nil"/>
          <w:bottom w:val="nil"/>
          <w:right w:val="nil"/>
          <w:between w:val="nil"/>
        </w:pBdr>
        <w:spacing w:beforeLines="80" w:before="192" w:afterLines="80" w:after="192" w:line="276" w:lineRule="auto"/>
        <w:jc w:val="both"/>
        <w:rPr>
          <w:rFonts w:ascii="Tahoma" w:eastAsia="Arial" w:hAnsi="Tahoma" w:cs="Tahoma"/>
          <w:b/>
          <w:color w:val="000000"/>
          <w:sz w:val="20"/>
          <w:szCs w:val="20"/>
        </w:rPr>
      </w:pPr>
      <w:r w:rsidRPr="004F743E">
        <w:rPr>
          <w:rFonts w:ascii="Tahoma" w:eastAsia="Arial" w:hAnsi="Tahoma" w:cs="Tahoma"/>
          <w:b/>
          <w:color w:val="000000"/>
          <w:sz w:val="20"/>
          <w:szCs w:val="20"/>
        </w:rPr>
        <w:t>DAS PENALIDADES ADMINISTRATIVAS</w:t>
      </w:r>
    </w:p>
    <w:p w14:paraId="5DB2A28B"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b/>
          <w:color w:val="000000"/>
          <w:sz w:val="20"/>
          <w:szCs w:val="20"/>
        </w:rPr>
        <w:t xml:space="preserve">12.1 </w:t>
      </w:r>
      <w:r w:rsidRPr="004F743E">
        <w:rPr>
          <w:rFonts w:ascii="Tahoma" w:eastAsia="Arial" w:hAnsi="Tahoma" w:cs="Tahoma"/>
          <w:color w:val="000000"/>
          <w:sz w:val="20"/>
          <w:szCs w:val="20"/>
        </w:rPr>
        <w:t>Comete infração administrativa, nos termos do art. 155 da Lei nº 14.133/2021, o Contratado que:</w:t>
      </w:r>
    </w:p>
    <w:p w14:paraId="29129BAB"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b/>
          <w:color w:val="000000"/>
          <w:sz w:val="20"/>
          <w:szCs w:val="20"/>
        </w:rPr>
        <w:tab/>
      </w:r>
      <w:r w:rsidRPr="004F743E">
        <w:rPr>
          <w:rFonts w:ascii="Tahoma" w:eastAsia="Arial" w:hAnsi="Tahoma" w:cs="Tahoma"/>
          <w:color w:val="000000"/>
          <w:sz w:val="20"/>
          <w:szCs w:val="20"/>
        </w:rPr>
        <w:t>a) der causa à inexecução parcial do contrato;</w:t>
      </w:r>
    </w:p>
    <w:p w14:paraId="49EABB8C"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ab/>
        <w:t>b) der causa à inexecução parcial do contrato que cause grave dano à Administração ao funcionamento dos serviços público ou interesse coletivo;</w:t>
      </w:r>
    </w:p>
    <w:p w14:paraId="4D29CE30"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b/>
        <w:t>c) Der causa à inexecução total do contrato;</w:t>
      </w:r>
    </w:p>
    <w:p w14:paraId="57D7E998"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b/>
        <w:t>d) Deixar de entregar a documentação exigida para o certame;</w:t>
      </w:r>
    </w:p>
    <w:p w14:paraId="1129441D"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b/>
        <w:t>e) Não celebrar o contrato ou não entregar a documentação exigida para a contratação, quando convocada dentro do prazo de validade da sua proposta;</w:t>
      </w:r>
    </w:p>
    <w:p w14:paraId="7726C27B"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b/>
        <w:t>f) Ensejar o retardamento da execução da entrega do objeto da contratação sem motivo justificado;</w:t>
      </w:r>
    </w:p>
    <w:p w14:paraId="24FFE07F"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b/>
        <w:t>g) Apresentar declaração ou documentação falsa exigida para o certame ou prestar declaração falsa durante a dispensa eletrônica ou execução do contrato;</w:t>
      </w:r>
    </w:p>
    <w:p w14:paraId="07542CB3"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b/>
        <w:t>h) Fraudar a contratação ou praticar ato fraudulento na execução do contrato;</w:t>
      </w:r>
    </w:p>
    <w:p w14:paraId="43438A39"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b/>
        <w:t>i) Comportar-se de modo inidôneo ou cometer fraude de qualquer natureza;</w:t>
      </w:r>
    </w:p>
    <w:p w14:paraId="111A7338"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b/>
        <w:t>j) Praticar atos ilícitos com vistas a frustrar os objetivos da contratação;</w:t>
      </w:r>
    </w:p>
    <w:p w14:paraId="3EC2DBE6"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b/>
        <w:t>k) Praticar ato lesivo previsto no art. 5 da Lei 1246 de 1 de agosto de 2013.</w:t>
      </w:r>
    </w:p>
    <w:p w14:paraId="074A6806" w14:textId="2F72E1D9" w:rsidR="00D05504" w:rsidRPr="004F743E" w:rsidRDefault="00240317"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Pr>
          <w:rFonts w:ascii="Tahoma" w:eastAsia="Arial" w:hAnsi="Tahoma" w:cs="Tahoma"/>
          <w:sz w:val="20"/>
          <w:szCs w:val="20"/>
        </w:rPr>
        <w:t xml:space="preserve"> </w:t>
      </w:r>
      <w:r w:rsidR="00004375" w:rsidRPr="004F743E">
        <w:rPr>
          <w:rFonts w:ascii="Tahoma" w:eastAsia="Arial" w:hAnsi="Tahoma" w:cs="Tahoma"/>
          <w:sz w:val="20"/>
          <w:szCs w:val="20"/>
        </w:rPr>
        <w:t xml:space="preserve">12.2 Serão aplicadas </w:t>
      </w:r>
      <w:r w:rsidRPr="004F743E">
        <w:rPr>
          <w:rFonts w:ascii="Tahoma" w:eastAsia="Arial" w:hAnsi="Tahoma" w:cs="Tahoma"/>
          <w:sz w:val="20"/>
          <w:szCs w:val="20"/>
        </w:rPr>
        <w:t>aos responsáveis</w:t>
      </w:r>
      <w:r w:rsidR="00004375" w:rsidRPr="004F743E">
        <w:rPr>
          <w:rFonts w:ascii="Tahoma" w:eastAsia="Arial" w:hAnsi="Tahoma" w:cs="Tahoma"/>
          <w:sz w:val="20"/>
          <w:szCs w:val="20"/>
        </w:rPr>
        <w:t xml:space="preserve"> pelas infrações administrativas acima descritas as seguintes sanções:</w:t>
      </w:r>
    </w:p>
    <w:p w14:paraId="4C856DCB" w14:textId="77777777" w:rsidR="00D05504" w:rsidRPr="004F743E" w:rsidRDefault="00004375" w:rsidP="00BB4A97">
      <w:pPr>
        <w:numPr>
          <w:ilvl w:val="0"/>
          <w:numId w:val="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Advertência, quando o contratado a causa a execução parcial do contrato, sempre que não se justificar a imposição de penalidade mais grave (art. 156, Parágrafo 2 da Lei);</w:t>
      </w:r>
    </w:p>
    <w:p w14:paraId="35D1E6C1" w14:textId="1D85A115" w:rsidR="00D05504" w:rsidRPr="004F743E" w:rsidRDefault="00004375" w:rsidP="00BB4A97">
      <w:pPr>
        <w:numPr>
          <w:ilvl w:val="0"/>
          <w:numId w:val="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 xml:space="preserve">Impedimento de licitar e contratar, quando praticadas as condutas descritas </w:t>
      </w:r>
      <w:r w:rsidR="00240317" w:rsidRPr="004F743E">
        <w:rPr>
          <w:rFonts w:ascii="Tahoma" w:eastAsia="Arial" w:hAnsi="Tahoma" w:cs="Tahoma"/>
          <w:sz w:val="20"/>
          <w:szCs w:val="20"/>
        </w:rPr>
        <w:t>nas alíneas</w:t>
      </w:r>
      <w:r w:rsidRPr="004F743E">
        <w:rPr>
          <w:rFonts w:ascii="Tahoma" w:eastAsia="Arial" w:hAnsi="Tahoma" w:cs="Tahoma"/>
          <w:sz w:val="20"/>
          <w:szCs w:val="20"/>
        </w:rPr>
        <w:t xml:space="preserve"> B, C, D, e F e G do subtítulo acima do termo que sempre não se justificar a imposição de penalidade mais grave (art. 156, Parágrafo 4 da Lei); </w:t>
      </w:r>
      <w:r w:rsidR="00240317" w:rsidRPr="004F743E">
        <w:rPr>
          <w:rFonts w:ascii="Tahoma" w:eastAsia="Arial" w:hAnsi="Tahoma" w:cs="Tahoma"/>
          <w:sz w:val="20"/>
          <w:szCs w:val="20"/>
        </w:rPr>
        <w:t>impedido</w:t>
      </w:r>
      <w:r w:rsidRPr="004F743E">
        <w:rPr>
          <w:rFonts w:ascii="Tahoma" w:eastAsia="Arial" w:hAnsi="Tahoma" w:cs="Tahoma"/>
          <w:sz w:val="20"/>
          <w:szCs w:val="20"/>
        </w:rPr>
        <w:t xml:space="preserve"> o responsável de licitar ou contratar com o município pelo prazo máximo de três anos;</w:t>
      </w:r>
    </w:p>
    <w:p w14:paraId="508E4411" w14:textId="0A8BBD45" w:rsidR="00D05504" w:rsidRPr="004F743E" w:rsidRDefault="00004375" w:rsidP="00BB4A97">
      <w:pPr>
        <w:numPr>
          <w:ilvl w:val="0"/>
          <w:numId w:val="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 xml:space="preserve">Declaração de idoneidade para licitar e contratar quando praticadas as condutas descritas </w:t>
      </w:r>
      <w:r w:rsidR="00240317" w:rsidRPr="004F743E">
        <w:rPr>
          <w:rFonts w:ascii="Tahoma" w:eastAsia="Arial" w:hAnsi="Tahoma" w:cs="Tahoma"/>
          <w:sz w:val="20"/>
          <w:szCs w:val="20"/>
        </w:rPr>
        <w:t>nas alíneas</w:t>
      </w:r>
      <w:r w:rsidRPr="004F743E">
        <w:rPr>
          <w:rFonts w:ascii="Tahoma" w:eastAsia="Arial" w:hAnsi="Tahoma" w:cs="Tahoma"/>
          <w:sz w:val="20"/>
          <w:szCs w:val="20"/>
        </w:rPr>
        <w:t xml:space="preserve"> B,</w:t>
      </w:r>
      <w:r w:rsidR="00A07B65">
        <w:rPr>
          <w:rFonts w:ascii="Tahoma" w:eastAsia="Arial" w:hAnsi="Tahoma" w:cs="Tahoma"/>
          <w:sz w:val="20"/>
          <w:szCs w:val="20"/>
        </w:rPr>
        <w:t xml:space="preserve"> </w:t>
      </w:r>
      <w:r w:rsidRPr="004F743E">
        <w:rPr>
          <w:rFonts w:ascii="Tahoma" w:eastAsia="Arial" w:hAnsi="Tahoma" w:cs="Tahoma"/>
          <w:sz w:val="20"/>
          <w:szCs w:val="20"/>
        </w:rPr>
        <w:t>C</w:t>
      </w:r>
      <w:r w:rsidR="00A07B65">
        <w:rPr>
          <w:rFonts w:ascii="Tahoma" w:eastAsia="Arial" w:hAnsi="Tahoma" w:cs="Tahoma"/>
          <w:sz w:val="20"/>
          <w:szCs w:val="20"/>
        </w:rPr>
        <w:t xml:space="preserve"> </w:t>
      </w:r>
      <w:r w:rsidRPr="004F743E">
        <w:rPr>
          <w:rFonts w:ascii="Tahoma" w:eastAsia="Arial" w:hAnsi="Tahoma" w:cs="Tahoma"/>
          <w:sz w:val="20"/>
          <w:szCs w:val="20"/>
        </w:rPr>
        <w:t>,F,</w:t>
      </w:r>
      <w:r w:rsidR="00A07B65">
        <w:rPr>
          <w:rFonts w:ascii="Tahoma" w:eastAsia="Arial" w:hAnsi="Tahoma" w:cs="Tahoma"/>
          <w:sz w:val="20"/>
          <w:szCs w:val="20"/>
        </w:rPr>
        <w:t xml:space="preserve"> </w:t>
      </w:r>
      <w:r w:rsidRPr="004F743E">
        <w:rPr>
          <w:rFonts w:ascii="Tahoma" w:eastAsia="Arial" w:hAnsi="Tahoma" w:cs="Tahoma"/>
          <w:sz w:val="20"/>
          <w:szCs w:val="20"/>
        </w:rPr>
        <w:t>E,</w:t>
      </w:r>
      <w:r w:rsidR="00A07B65">
        <w:rPr>
          <w:rFonts w:ascii="Tahoma" w:eastAsia="Arial" w:hAnsi="Tahoma" w:cs="Tahoma"/>
          <w:sz w:val="20"/>
          <w:szCs w:val="20"/>
        </w:rPr>
        <w:t xml:space="preserve"> </w:t>
      </w:r>
      <w:r w:rsidRPr="004F743E">
        <w:rPr>
          <w:rFonts w:ascii="Tahoma" w:eastAsia="Arial" w:hAnsi="Tahoma" w:cs="Tahoma"/>
          <w:sz w:val="20"/>
          <w:szCs w:val="20"/>
        </w:rPr>
        <w:t>F</w:t>
      </w:r>
      <w:r w:rsidR="00A07B65">
        <w:rPr>
          <w:rFonts w:ascii="Tahoma" w:eastAsia="Arial" w:hAnsi="Tahoma" w:cs="Tahoma"/>
          <w:sz w:val="20"/>
          <w:szCs w:val="20"/>
        </w:rPr>
        <w:t xml:space="preserve"> &amp;</w:t>
      </w:r>
      <w:proofErr w:type="gramStart"/>
      <w:r w:rsidR="00A07B65">
        <w:rPr>
          <w:rFonts w:ascii="Tahoma" w:eastAsia="Arial" w:hAnsi="Tahoma" w:cs="Tahoma"/>
          <w:sz w:val="20"/>
          <w:szCs w:val="20"/>
        </w:rPr>
        <w:t xml:space="preserve"> </w:t>
      </w:r>
      <w:r w:rsidR="00B438E9">
        <w:rPr>
          <w:rFonts w:ascii="Tahoma" w:eastAsia="Arial" w:hAnsi="Tahoma" w:cs="Tahoma"/>
          <w:sz w:val="20"/>
          <w:szCs w:val="20"/>
        </w:rPr>
        <w:t>..</w:t>
      </w:r>
      <w:proofErr w:type="gramEnd"/>
      <w:r w:rsidRPr="004F743E">
        <w:rPr>
          <w:rFonts w:ascii="Tahoma" w:eastAsia="Arial" w:hAnsi="Tahoma" w:cs="Tahoma"/>
          <w:sz w:val="20"/>
          <w:szCs w:val="20"/>
        </w:rPr>
        <w:t xml:space="preserve">G, que justifiquem a imposição de penalidade mais grave que a sanção referida no Parágrafo 4 (art.156 da Lei); </w:t>
      </w:r>
      <w:r w:rsidR="00240317" w:rsidRPr="004F743E">
        <w:rPr>
          <w:rFonts w:ascii="Tahoma" w:eastAsia="Arial" w:hAnsi="Tahoma" w:cs="Tahoma"/>
          <w:sz w:val="20"/>
          <w:szCs w:val="20"/>
        </w:rPr>
        <w:t>impedido</w:t>
      </w:r>
      <w:r w:rsidRPr="004F743E">
        <w:rPr>
          <w:rFonts w:ascii="Tahoma" w:eastAsia="Arial" w:hAnsi="Tahoma" w:cs="Tahoma"/>
          <w:sz w:val="20"/>
          <w:szCs w:val="20"/>
        </w:rPr>
        <w:t xml:space="preserve"> o responsável de licitar ou contratar com o município pelo prazo mínimo de três anos e máximo de seis anos;</w:t>
      </w:r>
    </w:p>
    <w:p w14:paraId="7CD624BA" w14:textId="77777777" w:rsidR="00D05504" w:rsidRPr="004F743E" w:rsidRDefault="00004375" w:rsidP="00BB4A97">
      <w:pPr>
        <w:numPr>
          <w:ilvl w:val="0"/>
          <w:numId w:val="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Multa:</w:t>
      </w:r>
    </w:p>
    <w:p w14:paraId="3E4BEAA2" w14:textId="77777777" w:rsidR="00D05504" w:rsidRPr="004F743E" w:rsidRDefault="00004375" w:rsidP="00BB4A97">
      <w:pPr>
        <w:numPr>
          <w:ilvl w:val="1"/>
          <w:numId w:val="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lastRenderedPageBreak/>
        <w:t>moratória de 0,5% por dia de atraso na execução do contrato, tomando por base o valor do contrato;</w:t>
      </w:r>
    </w:p>
    <w:p w14:paraId="01751475" w14:textId="77777777" w:rsidR="00D05504" w:rsidRPr="004F743E" w:rsidRDefault="00004375" w:rsidP="00BB4A97">
      <w:pPr>
        <w:numPr>
          <w:ilvl w:val="1"/>
          <w:numId w:val="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multa de 2% a partir do 16º dia  até o 30º dia de atraso;</w:t>
      </w:r>
    </w:p>
    <w:p w14:paraId="039E8A8C" w14:textId="77777777" w:rsidR="00D05504" w:rsidRPr="004F743E" w:rsidRDefault="00004375" w:rsidP="00BB4A97">
      <w:pPr>
        <w:numPr>
          <w:ilvl w:val="1"/>
          <w:numId w:val="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compensatória de 10% sobre o valor total do contrato, caso de inexecução total do objeto.</w:t>
      </w:r>
    </w:p>
    <w:p w14:paraId="7435DF9E"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12.3 A aplicação das sanções previstas no termo não exclui, em hipótese alguma, a obrigação de reparação integral do dano causado à contratante;</w:t>
      </w:r>
    </w:p>
    <w:p w14:paraId="51D0B607"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12.4 Todas as sanções previstas no termo poderão ser aplicadas cumulativamente com multa;</w:t>
      </w:r>
    </w:p>
    <w:p w14:paraId="4EE40E46"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12.4.1 Antes da aplicação da multa será facultada a defesa do interessado no prazo de 15 dias úteis, contado da data da sua intimação;</w:t>
      </w:r>
    </w:p>
    <w:p w14:paraId="1E046434"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12.4.2 Se a multa aplicada e as indenizações cabíveis forem superiores ao valor do pagamento eventualmente devido pela contratante ao contratado, além da perda desse valor, a diferença será descontado da garantia prestada ou será cobrada judicialmente;</w:t>
      </w:r>
    </w:p>
    <w:p w14:paraId="2984F163"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12.4.3 Previamente ao encaminhamento a cobrança judicial, a multa poderá ser recolhida administrativamente no prazo máximo de 30 dias, a conta da data de recebimento da comunicação enviada pela autoridade competente;</w:t>
      </w:r>
    </w:p>
    <w:p w14:paraId="6C2D3C47" w14:textId="173DF4DE"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 xml:space="preserve">12.4.4 A aplicação das sanções realizar-se-á em processo administrativo que assegura o contraditório e a ampla defesa contratado, observando-se o procedimento previsto no capô e </w:t>
      </w:r>
      <w:r w:rsidR="00240317" w:rsidRPr="004F743E">
        <w:rPr>
          <w:rFonts w:ascii="Tahoma" w:eastAsia="Arial" w:hAnsi="Tahoma" w:cs="Tahoma"/>
          <w:sz w:val="20"/>
          <w:szCs w:val="20"/>
        </w:rPr>
        <w:t>nos parágrafos</w:t>
      </w:r>
      <w:r w:rsidRPr="004F743E">
        <w:rPr>
          <w:rFonts w:ascii="Tahoma" w:eastAsia="Arial" w:hAnsi="Tahoma" w:cs="Tahoma"/>
          <w:sz w:val="20"/>
          <w:szCs w:val="20"/>
        </w:rPr>
        <w:t xml:space="preserve"> do art. 158 da Lei Nº 14133, de 2021, para as penalidades de impedimento de licitar e contratar de declaração de idoneidade para licitar ou contratar;</w:t>
      </w:r>
    </w:p>
    <w:p w14:paraId="1E6E5D6A" w14:textId="563ACAD9"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 xml:space="preserve">12.4.5 Na aplicação das sanções serão consideradas ( art.156, </w:t>
      </w:r>
      <w:r w:rsidR="00240317" w:rsidRPr="004F743E">
        <w:rPr>
          <w:rFonts w:ascii="Tahoma" w:eastAsia="Arial" w:hAnsi="Tahoma" w:cs="Tahoma"/>
          <w:sz w:val="20"/>
          <w:szCs w:val="20"/>
        </w:rPr>
        <w:t>Parágrafo</w:t>
      </w:r>
      <w:r w:rsidRPr="004F743E">
        <w:rPr>
          <w:rFonts w:ascii="Tahoma" w:eastAsia="Arial" w:hAnsi="Tahoma" w:cs="Tahoma"/>
          <w:sz w:val="20"/>
          <w:szCs w:val="20"/>
        </w:rPr>
        <w:t xml:space="preserve"> 1º):</w:t>
      </w:r>
    </w:p>
    <w:p w14:paraId="0B027B76" w14:textId="77777777" w:rsidR="00D05504" w:rsidRPr="004F743E" w:rsidRDefault="00004375" w:rsidP="00BB4A97">
      <w:pPr>
        <w:numPr>
          <w:ilvl w:val="0"/>
          <w:numId w:val="1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natureza e a gravidade da infração cometida;</w:t>
      </w:r>
    </w:p>
    <w:p w14:paraId="79470A12" w14:textId="77777777" w:rsidR="00D05504" w:rsidRPr="004F743E" w:rsidRDefault="00004375" w:rsidP="00BB4A97">
      <w:pPr>
        <w:numPr>
          <w:ilvl w:val="0"/>
          <w:numId w:val="1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as peculiaridades do caso concreto;</w:t>
      </w:r>
    </w:p>
    <w:p w14:paraId="355A5B30" w14:textId="77777777" w:rsidR="00D05504" w:rsidRPr="004F743E" w:rsidRDefault="00004375" w:rsidP="00BB4A97">
      <w:pPr>
        <w:numPr>
          <w:ilvl w:val="0"/>
          <w:numId w:val="1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as circunstâncias agravantes ou atenuantes;</w:t>
      </w:r>
    </w:p>
    <w:p w14:paraId="666903A5" w14:textId="77777777" w:rsidR="00D05504" w:rsidRPr="004F743E" w:rsidRDefault="00004375" w:rsidP="00BB4A97">
      <w:pPr>
        <w:numPr>
          <w:ilvl w:val="0"/>
          <w:numId w:val="1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os danos dela que provieram para a contratante;</w:t>
      </w:r>
    </w:p>
    <w:p w14:paraId="65BDCE85" w14:textId="77777777" w:rsidR="00D05504" w:rsidRPr="004F743E" w:rsidRDefault="00004375" w:rsidP="00BB4A97">
      <w:pPr>
        <w:numPr>
          <w:ilvl w:val="0"/>
          <w:numId w:val="11"/>
        </w:num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a implantação ou aperfeiçoamento de programa de integridade, conforme normas e orientações dos órgãos de controle.</w:t>
      </w:r>
    </w:p>
    <w:p w14:paraId="3DA8AEA4" w14:textId="754F430E"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 xml:space="preserve">12.4.6 Os atos previstos como infrações administrativas na Lei Nº 14133, de 2021, ou em outras leis de licitações e contratos da Administração Pública que também sejam tipificados como ato lesivos na Lei Nº 12846, de 2013, serão apurados e julgados conjuntamente, nos mesmos </w:t>
      </w:r>
      <w:r w:rsidR="00A07B65" w:rsidRPr="004F743E">
        <w:rPr>
          <w:rFonts w:ascii="Tahoma" w:eastAsia="Arial" w:hAnsi="Tahoma" w:cs="Tahoma"/>
          <w:sz w:val="20"/>
          <w:szCs w:val="20"/>
        </w:rPr>
        <w:t>autos, observando</w:t>
      </w:r>
      <w:r w:rsidRPr="004F743E">
        <w:rPr>
          <w:rFonts w:ascii="Tahoma" w:eastAsia="Arial" w:hAnsi="Tahoma" w:cs="Tahoma"/>
          <w:sz w:val="20"/>
          <w:szCs w:val="20"/>
        </w:rPr>
        <w:t xml:space="preserve"> o rito procedimental e a autoridade competente definidos na referida lei;</w:t>
      </w:r>
    </w:p>
    <w:p w14:paraId="0B4099C1" w14:textId="6D2354A5"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 xml:space="preserve">12.4.7 A personalidade jurídica do contrato poderá ser desconsiderada sempre que utilizada com abuso do direito para facilitar, encobrir ou disseminar a prática dos atos ilícitos previstos no contrato ou provocar confusão patrimonial, e nesse caso, todos os efeitos da sanções aplicadas à pessoa jurídica serão estendidos a seus administradores e sócios com poderes de administração, à pessoa jurídica sucessora ou à empresa do mesmo ramo com relação de coligação ou </w:t>
      </w:r>
      <w:r w:rsidR="00A07B65" w:rsidRPr="004F743E">
        <w:rPr>
          <w:rFonts w:ascii="Tahoma" w:eastAsia="Arial" w:hAnsi="Tahoma" w:cs="Tahoma"/>
          <w:sz w:val="20"/>
          <w:szCs w:val="20"/>
        </w:rPr>
        <w:t>controle, de</w:t>
      </w:r>
      <w:r w:rsidRPr="004F743E">
        <w:rPr>
          <w:rFonts w:ascii="Tahoma" w:eastAsia="Arial" w:hAnsi="Tahoma" w:cs="Tahoma"/>
          <w:sz w:val="20"/>
          <w:szCs w:val="20"/>
        </w:rPr>
        <w:t xml:space="preserve"> fato ou de direito, com o contratado, observados, em todos os casos, o contraditório, a ampla defesa e a obrigatoriedade de análise jurídica prévia;</w:t>
      </w:r>
    </w:p>
    <w:p w14:paraId="4857423A"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lastRenderedPageBreak/>
        <w:t xml:space="preserve">12.4.8 A contratante deverá, no prazo máximo 15 dias úteis, contado a partir da aplicação da sanção, informar e manter atualizados os dados relativos </w:t>
      </w:r>
      <w:proofErr w:type="gramStart"/>
      <w:r w:rsidRPr="004F743E">
        <w:rPr>
          <w:rFonts w:ascii="Tahoma" w:eastAsia="Arial" w:hAnsi="Tahoma" w:cs="Tahoma"/>
          <w:sz w:val="20"/>
          <w:szCs w:val="20"/>
        </w:rPr>
        <w:t>à</w:t>
      </w:r>
      <w:proofErr w:type="gramEnd"/>
      <w:r w:rsidRPr="004F743E">
        <w:rPr>
          <w:rFonts w:ascii="Tahoma" w:eastAsia="Arial" w:hAnsi="Tahoma" w:cs="Tahoma"/>
          <w:sz w:val="20"/>
          <w:szCs w:val="20"/>
        </w:rPr>
        <w:t xml:space="preserve"> sanções por ela aplicadas, para fins de publicidade no Cadastro Nacional de empresas inidôneas e suspensas (</w:t>
      </w:r>
      <w:proofErr w:type="spellStart"/>
      <w:r w:rsidRPr="004F743E">
        <w:rPr>
          <w:rFonts w:ascii="Tahoma" w:eastAsia="Arial" w:hAnsi="Tahoma" w:cs="Tahoma"/>
          <w:sz w:val="20"/>
          <w:szCs w:val="20"/>
        </w:rPr>
        <w:t>Ceis</w:t>
      </w:r>
      <w:proofErr w:type="spellEnd"/>
      <w:r w:rsidRPr="004F743E">
        <w:rPr>
          <w:rFonts w:ascii="Tahoma" w:eastAsia="Arial" w:hAnsi="Tahoma" w:cs="Tahoma"/>
          <w:sz w:val="20"/>
          <w:szCs w:val="20"/>
        </w:rPr>
        <w:t>) e no Cadastro Nacional de empresas punidas (</w:t>
      </w:r>
      <w:proofErr w:type="spellStart"/>
      <w:r w:rsidRPr="004F743E">
        <w:rPr>
          <w:rFonts w:ascii="Tahoma" w:eastAsia="Arial" w:hAnsi="Tahoma" w:cs="Tahoma"/>
          <w:sz w:val="20"/>
          <w:szCs w:val="20"/>
        </w:rPr>
        <w:t>Cnep</w:t>
      </w:r>
      <w:proofErr w:type="spellEnd"/>
      <w:r w:rsidRPr="004F743E">
        <w:rPr>
          <w:rFonts w:ascii="Tahoma" w:eastAsia="Arial" w:hAnsi="Tahoma" w:cs="Tahoma"/>
          <w:sz w:val="20"/>
          <w:szCs w:val="20"/>
        </w:rPr>
        <w:t>) Instituídos no âmbito do poder executivo federal;</w:t>
      </w:r>
    </w:p>
    <w:p w14:paraId="56947EFD" w14:textId="77777777"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sz w:val="20"/>
          <w:szCs w:val="20"/>
        </w:rPr>
      </w:pPr>
      <w:r w:rsidRPr="004F743E">
        <w:rPr>
          <w:rFonts w:ascii="Tahoma" w:eastAsia="Arial" w:hAnsi="Tahoma" w:cs="Tahoma"/>
          <w:sz w:val="20"/>
          <w:szCs w:val="20"/>
        </w:rPr>
        <w:t>12.4.9 As sanções de impedimento de licitar e contratar e declaração de idoneidade para licitar ao contratar são passíveis de reabilitação na forma do art. 163 da Lei Nº 14133/21.</w:t>
      </w:r>
    </w:p>
    <w:p w14:paraId="25AD3F74" w14:textId="77777777" w:rsidR="00D05504" w:rsidRPr="004F743E" w:rsidRDefault="00004375" w:rsidP="00BB4A97">
      <w:pPr>
        <w:keepNext/>
        <w:keepLines/>
        <w:numPr>
          <w:ilvl w:val="0"/>
          <w:numId w:val="14"/>
        </w:numPr>
        <w:pBdr>
          <w:top w:val="nil"/>
          <w:left w:val="nil"/>
          <w:bottom w:val="nil"/>
          <w:right w:val="nil"/>
          <w:between w:val="nil"/>
        </w:pBdr>
        <w:tabs>
          <w:tab w:val="left" w:pos="567"/>
        </w:tabs>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b/>
          <w:color w:val="000000"/>
          <w:sz w:val="20"/>
          <w:szCs w:val="20"/>
        </w:rPr>
        <w:t>ADEQUAÇÃO ORÇAMENTÁRIA</w:t>
      </w:r>
    </w:p>
    <w:p w14:paraId="02681C23"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567" w:hanging="567"/>
        <w:jc w:val="both"/>
        <w:rPr>
          <w:rFonts w:ascii="Tahoma" w:eastAsia="Arial" w:hAnsi="Tahoma" w:cs="Tahoma"/>
          <w:color w:val="000000"/>
          <w:sz w:val="20"/>
          <w:szCs w:val="20"/>
        </w:rPr>
      </w:pPr>
      <w:r w:rsidRPr="004F743E">
        <w:rPr>
          <w:rFonts w:ascii="Tahoma" w:eastAsia="Arial" w:hAnsi="Tahoma" w:cs="Tahoma"/>
          <w:color w:val="000000"/>
          <w:sz w:val="20"/>
          <w:szCs w:val="20"/>
        </w:rPr>
        <w:t>As despesas decorrentes da presente contratação correrão à conta de recursos específicos consignados no Orçamento Geral da União e do Município.</w:t>
      </w:r>
    </w:p>
    <w:p w14:paraId="6F0C19C4" w14:textId="77777777" w:rsidR="00D05504" w:rsidRPr="004F743E" w:rsidRDefault="00004375" w:rsidP="00BB4A97">
      <w:pPr>
        <w:numPr>
          <w:ilvl w:val="1"/>
          <w:numId w:val="14"/>
        </w:numPr>
        <w:pBdr>
          <w:top w:val="nil"/>
          <w:left w:val="nil"/>
          <w:bottom w:val="nil"/>
          <w:right w:val="nil"/>
          <w:between w:val="nil"/>
        </w:pBdr>
        <w:spacing w:beforeLines="80" w:before="192" w:afterLines="80" w:after="192" w:line="276" w:lineRule="auto"/>
        <w:ind w:left="567" w:hanging="567"/>
        <w:jc w:val="both"/>
        <w:rPr>
          <w:rFonts w:ascii="Tahoma" w:eastAsia="Arial" w:hAnsi="Tahoma" w:cs="Tahoma"/>
          <w:color w:val="000000"/>
          <w:sz w:val="20"/>
          <w:szCs w:val="20"/>
        </w:rPr>
      </w:pPr>
      <w:r w:rsidRPr="004F743E">
        <w:rPr>
          <w:rFonts w:ascii="Tahoma" w:eastAsia="Arial" w:hAnsi="Tahoma" w:cs="Tahoma"/>
          <w:color w:val="000000"/>
          <w:sz w:val="20"/>
          <w:szCs w:val="20"/>
        </w:rPr>
        <w:t>A contratação será atendida pela seguinte dotação:</w:t>
      </w:r>
    </w:p>
    <w:p w14:paraId="3E45771B" w14:textId="77777777" w:rsidR="00D05504" w:rsidRPr="004F743E" w:rsidRDefault="00004375" w:rsidP="00BB4A97">
      <w:pPr>
        <w:numPr>
          <w:ilvl w:val="0"/>
          <w:numId w:val="10"/>
        </w:numPr>
        <w:pBdr>
          <w:top w:val="nil"/>
          <w:left w:val="nil"/>
          <w:bottom w:val="nil"/>
          <w:right w:val="nil"/>
          <w:between w:val="nil"/>
        </w:pBdr>
        <w:tabs>
          <w:tab w:val="left" w:pos="567"/>
        </w:tabs>
        <w:spacing w:beforeLines="80" w:before="192" w:afterLines="80" w:after="192" w:line="276" w:lineRule="auto"/>
        <w:ind w:left="142" w:firstLine="283"/>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  Gestão/Unidade: 23 Secretaria Municipal de Saúde, 2301 Fundo Municipal de Saúde</w:t>
      </w:r>
    </w:p>
    <w:p w14:paraId="09F71DCE" w14:textId="77777777" w:rsidR="00D05504" w:rsidRPr="004F743E" w:rsidRDefault="00004375" w:rsidP="00BB4A97">
      <w:pPr>
        <w:numPr>
          <w:ilvl w:val="0"/>
          <w:numId w:val="10"/>
        </w:numPr>
        <w:pBdr>
          <w:top w:val="nil"/>
          <w:left w:val="nil"/>
          <w:bottom w:val="nil"/>
          <w:right w:val="nil"/>
          <w:between w:val="nil"/>
        </w:pBdr>
        <w:tabs>
          <w:tab w:val="left" w:pos="567"/>
        </w:tabs>
        <w:spacing w:beforeLines="80" w:before="192" w:afterLines="80" w:after="192" w:line="276" w:lineRule="auto"/>
        <w:ind w:left="142" w:firstLine="283"/>
        <w:jc w:val="both"/>
        <w:rPr>
          <w:rFonts w:ascii="Tahoma" w:eastAsia="Arial" w:hAnsi="Tahoma" w:cs="Tahoma"/>
          <w:color w:val="000000"/>
          <w:sz w:val="20"/>
          <w:szCs w:val="20"/>
        </w:rPr>
      </w:pPr>
      <w:r w:rsidRPr="004F743E">
        <w:rPr>
          <w:rFonts w:ascii="Tahoma" w:eastAsia="Arial" w:hAnsi="Tahoma" w:cs="Tahoma"/>
          <w:color w:val="000000"/>
          <w:sz w:val="20"/>
          <w:szCs w:val="20"/>
        </w:rPr>
        <w:t>Fonte de Recursos: 1.500.0000.1002 e 1.600.0000.0000</w:t>
      </w:r>
    </w:p>
    <w:p w14:paraId="683F16E4" w14:textId="77777777" w:rsidR="00D05504" w:rsidRPr="004F743E" w:rsidRDefault="00004375" w:rsidP="00BB4A97">
      <w:pPr>
        <w:numPr>
          <w:ilvl w:val="0"/>
          <w:numId w:val="10"/>
        </w:numPr>
        <w:pBdr>
          <w:top w:val="nil"/>
          <w:left w:val="nil"/>
          <w:bottom w:val="nil"/>
          <w:right w:val="nil"/>
          <w:between w:val="nil"/>
        </w:pBdr>
        <w:tabs>
          <w:tab w:val="left" w:pos="567"/>
        </w:tabs>
        <w:spacing w:beforeLines="80" w:before="192" w:afterLines="80" w:after="192" w:line="276" w:lineRule="auto"/>
        <w:ind w:left="125" w:firstLine="284"/>
        <w:jc w:val="both"/>
        <w:rPr>
          <w:rFonts w:ascii="Tahoma" w:eastAsia="Arial" w:hAnsi="Tahoma" w:cs="Tahoma"/>
          <w:color w:val="000000"/>
          <w:sz w:val="20"/>
          <w:szCs w:val="20"/>
        </w:rPr>
      </w:pPr>
      <w:r w:rsidRPr="004F743E">
        <w:rPr>
          <w:rFonts w:ascii="Tahoma" w:eastAsia="Arial" w:hAnsi="Tahoma" w:cs="Tahoma"/>
          <w:color w:val="000000"/>
          <w:sz w:val="20"/>
          <w:szCs w:val="20"/>
        </w:rPr>
        <w:t>Programa de Trabalho: 10.302.0012.1021 -MELHORIA E EXPANSÃO DO HOSPITAL MUNICIPAL</w:t>
      </w:r>
    </w:p>
    <w:p w14:paraId="575E055D" w14:textId="77777777" w:rsidR="00D05504" w:rsidRPr="004F743E" w:rsidRDefault="00004375" w:rsidP="00BB4A97">
      <w:pPr>
        <w:numPr>
          <w:ilvl w:val="0"/>
          <w:numId w:val="10"/>
        </w:numPr>
        <w:pBdr>
          <w:top w:val="nil"/>
          <w:left w:val="nil"/>
          <w:bottom w:val="nil"/>
          <w:right w:val="nil"/>
          <w:between w:val="nil"/>
        </w:pBdr>
        <w:tabs>
          <w:tab w:val="left" w:pos="567"/>
        </w:tabs>
        <w:spacing w:beforeLines="80" w:before="192" w:afterLines="80" w:after="192" w:line="276" w:lineRule="auto"/>
        <w:ind w:left="125" w:firstLine="284"/>
        <w:jc w:val="both"/>
        <w:rPr>
          <w:rFonts w:ascii="Tahoma" w:eastAsia="Arial" w:hAnsi="Tahoma" w:cs="Tahoma"/>
          <w:color w:val="000000"/>
          <w:sz w:val="20"/>
          <w:szCs w:val="20"/>
        </w:rPr>
      </w:pPr>
      <w:r w:rsidRPr="004F743E">
        <w:rPr>
          <w:rFonts w:ascii="Tahoma" w:eastAsia="Arial" w:hAnsi="Tahoma" w:cs="Tahoma"/>
          <w:color w:val="000000"/>
          <w:sz w:val="20"/>
          <w:szCs w:val="20"/>
        </w:rPr>
        <w:t>Elemento de Despesa: 44905100 - Obras e Instalações</w:t>
      </w:r>
    </w:p>
    <w:p w14:paraId="2D18C833" w14:textId="1E190089" w:rsidR="00D05504" w:rsidRPr="004F743E" w:rsidRDefault="00004375"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r w:rsidRPr="004F743E">
        <w:rPr>
          <w:rFonts w:ascii="Tahoma" w:eastAsia="Arial" w:hAnsi="Tahoma" w:cs="Tahoma"/>
          <w:color w:val="000000"/>
          <w:sz w:val="20"/>
          <w:szCs w:val="20"/>
        </w:rPr>
        <w:t xml:space="preserve">A dotação relativa aos exercícios financeiros </w:t>
      </w:r>
      <w:r w:rsidR="00240317" w:rsidRPr="004F743E">
        <w:rPr>
          <w:rFonts w:ascii="Tahoma" w:eastAsia="Arial" w:hAnsi="Tahoma" w:cs="Tahoma"/>
          <w:color w:val="000000"/>
          <w:sz w:val="20"/>
          <w:szCs w:val="20"/>
        </w:rPr>
        <w:t>subsequentes</w:t>
      </w:r>
      <w:r w:rsidRPr="004F743E">
        <w:rPr>
          <w:rFonts w:ascii="Tahoma" w:eastAsia="Arial" w:hAnsi="Tahoma" w:cs="Tahoma"/>
          <w:color w:val="000000"/>
          <w:sz w:val="20"/>
          <w:szCs w:val="20"/>
        </w:rPr>
        <w:t xml:space="preserve"> será indicada após aprovação da Lei Orçamentária respectiva e liberação dos créditos correspondentes, mediante apostilamento.</w:t>
      </w:r>
    </w:p>
    <w:p w14:paraId="68A59296" w14:textId="77777777" w:rsidR="00D05504" w:rsidRPr="004F743E" w:rsidRDefault="00D05504" w:rsidP="00BB4A97">
      <w:pPr>
        <w:pBdr>
          <w:top w:val="nil"/>
          <w:left w:val="nil"/>
          <w:bottom w:val="nil"/>
          <w:right w:val="nil"/>
          <w:between w:val="nil"/>
        </w:pBdr>
        <w:spacing w:beforeLines="80" w:before="192" w:afterLines="80" w:after="192" w:line="276" w:lineRule="auto"/>
        <w:ind w:right="78"/>
        <w:jc w:val="both"/>
        <w:rPr>
          <w:rFonts w:ascii="Tahoma" w:eastAsia="Arial" w:hAnsi="Tahoma" w:cs="Tahoma"/>
          <w:color w:val="000000"/>
          <w:sz w:val="20"/>
          <w:szCs w:val="20"/>
        </w:rPr>
      </w:pPr>
    </w:p>
    <w:p w14:paraId="32F569F2" w14:textId="77777777" w:rsidR="00D05504" w:rsidRPr="004F743E" w:rsidRDefault="00004375" w:rsidP="00BB4A97">
      <w:pPr>
        <w:pBdr>
          <w:top w:val="nil"/>
          <w:left w:val="nil"/>
          <w:bottom w:val="nil"/>
          <w:right w:val="nil"/>
          <w:between w:val="nil"/>
        </w:pBdr>
        <w:spacing w:beforeLines="80" w:before="192" w:afterLines="80" w:after="192" w:line="276" w:lineRule="auto"/>
        <w:ind w:right="78"/>
        <w:jc w:val="both"/>
        <w:rPr>
          <w:rFonts w:ascii="Tahoma" w:eastAsia="Arial" w:hAnsi="Tahoma" w:cs="Tahoma"/>
          <w:color w:val="000000"/>
          <w:sz w:val="20"/>
          <w:szCs w:val="20"/>
        </w:rPr>
      </w:pPr>
      <w:r w:rsidRPr="004F743E">
        <w:rPr>
          <w:rFonts w:ascii="Tahoma" w:eastAsia="Arial" w:hAnsi="Tahoma" w:cs="Tahoma"/>
          <w:color w:val="000000"/>
          <w:sz w:val="20"/>
          <w:szCs w:val="20"/>
        </w:rPr>
        <w:t>Atenciosamente,</w:t>
      </w:r>
    </w:p>
    <w:p w14:paraId="73B4D4FA" w14:textId="77777777" w:rsidR="0080736E" w:rsidRPr="004F743E" w:rsidRDefault="0080736E" w:rsidP="00BB4A97">
      <w:pPr>
        <w:pBdr>
          <w:top w:val="nil"/>
          <w:left w:val="nil"/>
          <w:bottom w:val="nil"/>
          <w:right w:val="nil"/>
          <w:between w:val="nil"/>
        </w:pBdr>
        <w:spacing w:beforeLines="80" w:before="192" w:afterLines="80" w:after="192" w:line="276" w:lineRule="auto"/>
        <w:ind w:right="78"/>
        <w:jc w:val="both"/>
        <w:rPr>
          <w:rFonts w:ascii="Tahoma" w:eastAsia="Arial" w:hAnsi="Tahoma" w:cs="Tahoma"/>
          <w:color w:val="000000"/>
          <w:sz w:val="20"/>
          <w:szCs w:val="20"/>
        </w:rPr>
      </w:pPr>
    </w:p>
    <w:p w14:paraId="641CEB49" w14:textId="7682A2A3" w:rsidR="00D05504" w:rsidRPr="004F743E" w:rsidRDefault="00004375" w:rsidP="00BB4A97">
      <w:pPr>
        <w:pBdr>
          <w:top w:val="nil"/>
          <w:left w:val="nil"/>
          <w:bottom w:val="nil"/>
          <w:right w:val="nil"/>
          <w:between w:val="nil"/>
        </w:pBdr>
        <w:spacing w:beforeLines="80" w:before="192" w:afterLines="80" w:after="192" w:line="276" w:lineRule="auto"/>
        <w:ind w:right="78"/>
        <w:jc w:val="both"/>
        <w:rPr>
          <w:rFonts w:ascii="Tahoma" w:eastAsia="Arial" w:hAnsi="Tahoma" w:cs="Tahoma"/>
          <w:sz w:val="20"/>
          <w:szCs w:val="20"/>
        </w:rPr>
      </w:pPr>
      <w:r w:rsidRPr="004F743E">
        <w:rPr>
          <w:rFonts w:ascii="Tahoma" w:eastAsia="Arial" w:hAnsi="Tahoma" w:cs="Tahoma"/>
          <w:sz w:val="20"/>
          <w:szCs w:val="20"/>
        </w:rPr>
        <w:t>Lauro de Freitas</w:t>
      </w:r>
      <w:r w:rsidR="0080736E" w:rsidRPr="004F743E">
        <w:rPr>
          <w:rFonts w:ascii="Tahoma" w:eastAsia="Arial" w:hAnsi="Tahoma" w:cs="Tahoma"/>
          <w:sz w:val="20"/>
          <w:szCs w:val="20"/>
        </w:rPr>
        <w:t xml:space="preserve">, </w:t>
      </w:r>
      <w:r w:rsidR="00240317">
        <w:rPr>
          <w:rFonts w:ascii="Tahoma" w:eastAsia="Arial" w:hAnsi="Tahoma" w:cs="Tahoma"/>
          <w:sz w:val="20"/>
          <w:szCs w:val="20"/>
        </w:rPr>
        <w:t>16</w:t>
      </w:r>
      <w:r w:rsidR="0052684D" w:rsidRPr="004F743E">
        <w:rPr>
          <w:rFonts w:ascii="Tahoma" w:eastAsia="Arial" w:hAnsi="Tahoma" w:cs="Tahoma"/>
          <w:sz w:val="20"/>
          <w:szCs w:val="20"/>
        </w:rPr>
        <w:t xml:space="preserve"> de </w:t>
      </w:r>
      <w:r w:rsidR="00240317">
        <w:rPr>
          <w:rFonts w:ascii="Tahoma" w:eastAsia="Arial" w:hAnsi="Tahoma" w:cs="Tahoma"/>
          <w:sz w:val="20"/>
          <w:szCs w:val="20"/>
        </w:rPr>
        <w:t>janeiro</w:t>
      </w:r>
      <w:r w:rsidRPr="004F743E">
        <w:rPr>
          <w:rFonts w:ascii="Tahoma" w:eastAsia="Arial" w:hAnsi="Tahoma" w:cs="Tahoma"/>
          <w:sz w:val="20"/>
          <w:szCs w:val="20"/>
        </w:rPr>
        <w:t xml:space="preserve"> de 202</w:t>
      </w:r>
      <w:r w:rsidR="00240317">
        <w:rPr>
          <w:rFonts w:ascii="Tahoma" w:eastAsia="Arial" w:hAnsi="Tahoma" w:cs="Tahoma"/>
          <w:sz w:val="20"/>
          <w:szCs w:val="20"/>
        </w:rPr>
        <w:t>6</w:t>
      </w:r>
      <w:r w:rsidR="006F74F7" w:rsidRPr="004F743E">
        <w:rPr>
          <w:rFonts w:ascii="Tahoma" w:eastAsia="Arial" w:hAnsi="Tahoma" w:cs="Tahoma"/>
          <w:sz w:val="20"/>
          <w:szCs w:val="20"/>
        </w:rPr>
        <w:t>.</w:t>
      </w:r>
    </w:p>
    <w:p w14:paraId="447B3832" w14:textId="77777777" w:rsidR="00D05504" w:rsidRPr="004F743E" w:rsidRDefault="00D05504" w:rsidP="00BB4A97">
      <w:pPr>
        <w:pBdr>
          <w:top w:val="nil"/>
          <w:left w:val="nil"/>
          <w:bottom w:val="nil"/>
          <w:right w:val="nil"/>
          <w:between w:val="nil"/>
        </w:pBdr>
        <w:spacing w:beforeLines="80" w:before="192" w:afterLines="80" w:after="192" w:line="276" w:lineRule="auto"/>
        <w:ind w:right="78"/>
        <w:jc w:val="both"/>
        <w:rPr>
          <w:rFonts w:ascii="Tahoma" w:eastAsia="Arial" w:hAnsi="Tahoma" w:cs="Tahoma"/>
          <w:sz w:val="20"/>
          <w:szCs w:val="20"/>
        </w:rPr>
      </w:pPr>
    </w:p>
    <w:p w14:paraId="4627A67D" w14:textId="77777777" w:rsidR="00D05504" w:rsidRPr="004F743E" w:rsidRDefault="00D05504" w:rsidP="00BB4A97">
      <w:pPr>
        <w:pBdr>
          <w:top w:val="nil"/>
          <w:left w:val="nil"/>
          <w:bottom w:val="nil"/>
          <w:right w:val="nil"/>
          <w:between w:val="nil"/>
        </w:pBdr>
        <w:ind w:right="78"/>
        <w:jc w:val="both"/>
        <w:rPr>
          <w:rFonts w:ascii="Tahoma" w:eastAsia="Arial" w:hAnsi="Tahoma" w:cs="Tahoma"/>
          <w:sz w:val="20"/>
          <w:szCs w:val="20"/>
        </w:rPr>
      </w:pPr>
    </w:p>
    <w:p w14:paraId="66EF5596" w14:textId="77777777" w:rsidR="00A9710F" w:rsidRPr="004F743E" w:rsidRDefault="00A9710F" w:rsidP="00A9710F">
      <w:pPr>
        <w:pBdr>
          <w:top w:val="nil"/>
          <w:left w:val="nil"/>
          <w:bottom w:val="nil"/>
          <w:right w:val="nil"/>
          <w:between w:val="nil"/>
        </w:pBdr>
        <w:jc w:val="center"/>
        <w:rPr>
          <w:rFonts w:ascii="Tahoma" w:eastAsia="Arial" w:hAnsi="Tahoma" w:cs="Tahoma"/>
          <w:b/>
          <w:bCs/>
          <w:color w:val="000000"/>
          <w:sz w:val="20"/>
          <w:szCs w:val="20"/>
        </w:rPr>
      </w:pPr>
      <w:r w:rsidRPr="004F743E">
        <w:rPr>
          <w:rFonts w:ascii="Tahoma" w:eastAsia="Arial" w:hAnsi="Tahoma" w:cs="Tahoma"/>
          <w:b/>
          <w:bCs/>
          <w:color w:val="000000"/>
          <w:sz w:val="20"/>
          <w:szCs w:val="20"/>
        </w:rPr>
        <w:t>Antônio José Ribeiro Martinez - Matrícula: 124973</w:t>
      </w:r>
    </w:p>
    <w:p w14:paraId="06B34B24" w14:textId="77777777" w:rsidR="00A9710F" w:rsidRPr="004F743E" w:rsidRDefault="00A9710F" w:rsidP="00A9710F">
      <w:pPr>
        <w:pBdr>
          <w:top w:val="nil"/>
          <w:left w:val="nil"/>
          <w:bottom w:val="nil"/>
          <w:right w:val="nil"/>
          <w:between w:val="nil"/>
        </w:pBdr>
        <w:jc w:val="center"/>
        <w:rPr>
          <w:rFonts w:ascii="Tahoma" w:eastAsia="Arial" w:hAnsi="Tahoma" w:cs="Tahoma"/>
          <w:color w:val="000000"/>
          <w:sz w:val="20"/>
          <w:szCs w:val="20"/>
        </w:rPr>
      </w:pPr>
      <w:r w:rsidRPr="004F743E">
        <w:rPr>
          <w:rFonts w:ascii="Tahoma" w:eastAsia="Arial" w:hAnsi="Tahoma" w:cs="Tahoma"/>
          <w:color w:val="000000"/>
          <w:sz w:val="20"/>
          <w:szCs w:val="20"/>
        </w:rPr>
        <w:t>Técnico Responsável - Engenheiro Civil</w:t>
      </w:r>
    </w:p>
    <w:p w14:paraId="275649EB" w14:textId="77777777" w:rsidR="00A9710F" w:rsidRPr="004F743E" w:rsidRDefault="00A9710F" w:rsidP="00A9710F">
      <w:pPr>
        <w:pBdr>
          <w:top w:val="nil"/>
          <w:left w:val="nil"/>
          <w:bottom w:val="nil"/>
          <w:right w:val="nil"/>
          <w:between w:val="nil"/>
        </w:pBdr>
        <w:ind w:left="2160" w:firstLine="720"/>
        <w:rPr>
          <w:rFonts w:ascii="Tahoma" w:eastAsia="Arial" w:hAnsi="Tahoma" w:cs="Tahoma"/>
          <w:color w:val="000000"/>
          <w:sz w:val="20"/>
          <w:szCs w:val="20"/>
        </w:rPr>
      </w:pPr>
      <w:r w:rsidRPr="004F743E">
        <w:rPr>
          <w:rFonts w:ascii="Tahoma" w:eastAsia="Arial" w:hAnsi="Tahoma" w:cs="Tahoma"/>
          <w:color w:val="000000"/>
          <w:sz w:val="20"/>
          <w:szCs w:val="20"/>
        </w:rPr>
        <w:t>Departamento de Manutenção e Engenharia</w:t>
      </w:r>
    </w:p>
    <w:p w14:paraId="2D664E65" w14:textId="77777777" w:rsidR="00D05504" w:rsidRPr="004F743E" w:rsidRDefault="00D05504" w:rsidP="00BB4A97">
      <w:pPr>
        <w:pBdr>
          <w:top w:val="nil"/>
          <w:left w:val="nil"/>
          <w:bottom w:val="nil"/>
          <w:right w:val="nil"/>
          <w:between w:val="nil"/>
        </w:pBdr>
        <w:spacing w:beforeLines="80" w:before="192" w:afterLines="80" w:after="192" w:line="276" w:lineRule="auto"/>
        <w:jc w:val="both"/>
        <w:rPr>
          <w:rFonts w:ascii="Tahoma" w:eastAsia="Arial" w:hAnsi="Tahoma" w:cs="Tahoma"/>
          <w:color w:val="000000"/>
          <w:sz w:val="20"/>
          <w:szCs w:val="20"/>
        </w:rPr>
      </w:pPr>
    </w:p>
    <w:p w14:paraId="5390D29E" w14:textId="77777777" w:rsidR="00D05504" w:rsidRPr="004F743E" w:rsidRDefault="00D05504" w:rsidP="0023200B">
      <w:pPr>
        <w:pBdr>
          <w:top w:val="nil"/>
          <w:left w:val="nil"/>
          <w:bottom w:val="nil"/>
          <w:right w:val="nil"/>
          <w:between w:val="nil"/>
        </w:pBdr>
        <w:ind w:right="79"/>
        <w:jc w:val="both"/>
        <w:rPr>
          <w:rFonts w:ascii="Tahoma" w:eastAsia="Arial" w:hAnsi="Tahoma" w:cs="Tahoma"/>
          <w:color w:val="000000"/>
          <w:sz w:val="20"/>
          <w:szCs w:val="20"/>
        </w:rPr>
      </w:pPr>
    </w:p>
    <w:p w14:paraId="75ECCCF7" w14:textId="77777777" w:rsidR="00D05504" w:rsidRPr="004F743E" w:rsidRDefault="00004375" w:rsidP="0023200B">
      <w:pPr>
        <w:pBdr>
          <w:top w:val="nil"/>
          <w:left w:val="nil"/>
          <w:bottom w:val="nil"/>
          <w:right w:val="nil"/>
          <w:between w:val="nil"/>
        </w:pBdr>
        <w:ind w:right="79"/>
        <w:jc w:val="both"/>
        <w:rPr>
          <w:rFonts w:ascii="Tahoma" w:eastAsia="Arial" w:hAnsi="Tahoma" w:cs="Tahoma"/>
          <w:color w:val="000000"/>
          <w:sz w:val="20"/>
          <w:szCs w:val="20"/>
        </w:rPr>
      </w:pPr>
      <w:r w:rsidRPr="004F743E">
        <w:rPr>
          <w:rFonts w:ascii="Tahoma" w:eastAsia="Arial" w:hAnsi="Tahoma" w:cs="Tahoma"/>
          <w:color w:val="000000"/>
          <w:sz w:val="20"/>
          <w:szCs w:val="20"/>
        </w:rPr>
        <w:t>Autorizo dar início ao processo administrativo de licitação.</w:t>
      </w:r>
    </w:p>
    <w:p w14:paraId="18800A35" w14:textId="77777777" w:rsidR="00D05504" w:rsidRPr="004F743E" w:rsidRDefault="00004375" w:rsidP="0023200B">
      <w:pPr>
        <w:pBdr>
          <w:top w:val="nil"/>
          <w:left w:val="nil"/>
          <w:bottom w:val="nil"/>
          <w:right w:val="nil"/>
          <w:between w:val="nil"/>
        </w:pBdr>
        <w:ind w:right="79"/>
        <w:jc w:val="both"/>
        <w:rPr>
          <w:rFonts w:ascii="Tahoma" w:eastAsia="Arial" w:hAnsi="Tahoma" w:cs="Tahoma"/>
          <w:color w:val="000000"/>
          <w:sz w:val="20"/>
          <w:szCs w:val="20"/>
        </w:rPr>
      </w:pPr>
      <w:r w:rsidRPr="004F743E">
        <w:rPr>
          <w:rFonts w:ascii="Tahoma" w:eastAsia="Arial" w:hAnsi="Tahoma" w:cs="Tahoma"/>
          <w:color w:val="000000"/>
          <w:sz w:val="20"/>
          <w:szCs w:val="20"/>
        </w:rPr>
        <w:t>Encaminhe-se ao Setor competente para providências imediatas.</w:t>
      </w:r>
    </w:p>
    <w:p w14:paraId="03144B14" w14:textId="77777777" w:rsidR="00D05504" w:rsidRPr="004F743E" w:rsidRDefault="00004375" w:rsidP="0023200B">
      <w:pPr>
        <w:pBdr>
          <w:top w:val="nil"/>
          <w:left w:val="nil"/>
          <w:bottom w:val="nil"/>
          <w:right w:val="nil"/>
          <w:between w:val="nil"/>
        </w:pBdr>
        <w:ind w:right="79"/>
        <w:jc w:val="both"/>
        <w:rPr>
          <w:rFonts w:ascii="Tahoma" w:eastAsia="Arial" w:hAnsi="Tahoma" w:cs="Tahoma"/>
          <w:color w:val="000000"/>
          <w:sz w:val="20"/>
          <w:szCs w:val="20"/>
        </w:rPr>
      </w:pPr>
      <w:r w:rsidRPr="004F743E">
        <w:rPr>
          <w:rFonts w:ascii="Tahoma" w:eastAsia="Arial" w:hAnsi="Tahoma" w:cs="Tahoma"/>
          <w:color w:val="000000"/>
          <w:sz w:val="20"/>
          <w:szCs w:val="20"/>
        </w:rPr>
        <w:t>Cumpra-se, dando ciência.</w:t>
      </w:r>
    </w:p>
    <w:p w14:paraId="3C90FE1B" w14:textId="77777777" w:rsidR="00D05504" w:rsidRPr="004F743E" w:rsidRDefault="00D05504" w:rsidP="0023200B">
      <w:pPr>
        <w:pBdr>
          <w:top w:val="nil"/>
          <w:left w:val="nil"/>
          <w:bottom w:val="nil"/>
          <w:right w:val="nil"/>
          <w:between w:val="nil"/>
        </w:pBdr>
        <w:ind w:right="79"/>
        <w:jc w:val="both"/>
        <w:rPr>
          <w:rFonts w:ascii="Tahoma" w:eastAsia="Arial" w:hAnsi="Tahoma" w:cs="Tahoma"/>
          <w:color w:val="000000"/>
          <w:sz w:val="20"/>
          <w:szCs w:val="20"/>
        </w:rPr>
      </w:pPr>
    </w:p>
    <w:p w14:paraId="0C3FF805" w14:textId="77777777" w:rsidR="00D05504" w:rsidRPr="004F743E" w:rsidRDefault="00D05504" w:rsidP="00BB4A97">
      <w:pPr>
        <w:pBdr>
          <w:top w:val="nil"/>
          <w:left w:val="nil"/>
          <w:bottom w:val="nil"/>
          <w:right w:val="nil"/>
          <w:between w:val="nil"/>
        </w:pBdr>
        <w:spacing w:beforeLines="80" w:before="192" w:afterLines="80" w:after="192" w:line="276" w:lineRule="auto"/>
        <w:ind w:right="78"/>
        <w:jc w:val="both"/>
        <w:rPr>
          <w:rFonts w:ascii="Tahoma" w:eastAsia="Arial" w:hAnsi="Tahoma" w:cs="Tahoma"/>
          <w:sz w:val="20"/>
          <w:szCs w:val="20"/>
        </w:rPr>
      </w:pPr>
    </w:p>
    <w:p w14:paraId="0D1A8E11" w14:textId="77777777" w:rsidR="00D05504" w:rsidRPr="004F743E" w:rsidRDefault="00D05504" w:rsidP="00BB4A97">
      <w:pPr>
        <w:pBdr>
          <w:top w:val="nil"/>
          <w:left w:val="nil"/>
          <w:bottom w:val="nil"/>
          <w:right w:val="nil"/>
          <w:between w:val="nil"/>
        </w:pBdr>
        <w:spacing w:beforeLines="80" w:before="192" w:afterLines="80" w:after="192" w:line="276" w:lineRule="auto"/>
        <w:ind w:right="78"/>
        <w:jc w:val="both"/>
        <w:rPr>
          <w:rFonts w:ascii="Tahoma" w:eastAsia="Arial" w:hAnsi="Tahoma" w:cs="Tahoma"/>
          <w:sz w:val="20"/>
          <w:szCs w:val="20"/>
        </w:rPr>
      </w:pPr>
    </w:p>
    <w:p w14:paraId="4EC8E922" w14:textId="77777777" w:rsidR="00D05504" w:rsidRPr="00BB4A97" w:rsidRDefault="00004375" w:rsidP="00BB4A97">
      <w:pPr>
        <w:pBdr>
          <w:top w:val="nil"/>
          <w:left w:val="nil"/>
          <w:bottom w:val="nil"/>
          <w:right w:val="nil"/>
          <w:between w:val="nil"/>
        </w:pBdr>
        <w:ind w:right="78"/>
        <w:jc w:val="center"/>
        <w:rPr>
          <w:rFonts w:ascii="Tahoma" w:eastAsia="Arial" w:hAnsi="Tahoma" w:cs="Tahoma"/>
          <w:b/>
          <w:bCs/>
          <w:sz w:val="20"/>
          <w:szCs w:val="20"/>
        </w:rPr>
      </w:pPr>
      <w:r w:rsidRPr="00BB4A97">
        <w:rPr>
          <w:rFonts w:ascii="Tahoma" w:eastAsia="Arial" w:hAnsi="Tahoma" w:cs="Tahoma"/>
          <w:b/>
          <w:bCs/>
          <w:sz w:val="20"/>
          <w:szCs w:val="20"/>
        </w:rPr>
        <w:t>Elba Brito Garcez</w:t>
      </w:r>
    </w:p>
    <w:p w14:paraId="0CA497B8" w14:textId="10516F59" w:rsidR="00D05504" w:rsidRPr="00BB4A97" w:rsidRDefault="00004375" w:rsidP="00BB4A97">
      <w:pPr>
        <w:pBdr>
          <w:top w:val="nil"/>
          <w:left w:val="nil"/>
          <w:bottom w:val="nil"/>
          <w:right w:val="nil"/>
          <w:between w:val="nil"/>
        </w:pBdr>
        <w:ind w:right="78"/>
        <w:jc w:val="center"/>
        <w:rPr>
          <w:rFonts w:ascii="Tahoma" w:eastAsia="Arial" w:hAnsi="Tahoma" w:cs="Tahoma"/>
          <w:b/>
          <w:bCs/>
          <w:sz w:val="20"/>
          <w:szCs w:val="20"/>
        </w:rPr>
      </w:pPr>
      <w:r w:rsidRPr="00BB4A97">
        <w:rPr>
          <w:rFonts w:ascii="Tahoma" w:eastAsia="Arial" w:hAnsi="Tahoma" w:cs="Tahoma"/>
          <w:b/>
          <w:bCs/>
          <w:sz w:val="20"/>
          <w:szCs w:val="20"/>
        </w:rPr>
        <w:t>Secretária Municipal de Saúde</w:t>
      </w:r>
      <w:r w:rsidR="00240317" w:rsidRPr="00BB4A97">
        <w:rPr>
          <w:rFonts w:ascii="Tahoma" w:eastAsia="Arial" w:hAnsi="Tahoma" w:cs="Tahoma"/>
          <w:b/>
          <w:bCs/>
          <w:sz w:val="20"/>
          <w:szCs w:val="20"/>
        </w:rPr>
        <w:t xml:space="preserve"> Interina</w:t>
      </w:r>
    </w:p>
    <w:sectPr w:rsidR="00D05504" w:rsidRPr="00BB4A97">
      <w:headerReference w:type="default" r:id="rId13"/>
      <w:footerReference w:type="default" r:id="rId14"/>
      <w:pgSz w:w="11906" w:h="16838"/>
      <w:pgMar w:top="1418" w:right="1134" w:bottom="1418" w:left="1134" w:header="142"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E32E0B" w14:textId="77777777" w:rsidR="001E0F7A" w:rsidRDefault="001E0F7A">
      <w:r>
        <w:separator/>
      </w:r>
    </w:p>
  </w:endnote>
  <w:endnote w:type="continuationSeparator" w:id="0">
    <w:p w14:paraId="04B49A88" w14:textId="77777777" w:rsidR="001E0F7A" w:rsidRDefault="001E0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Segoe Print"/>
    <w:charset w:val="00"/>
    <w:family w:val="auto"/>
    <w:pitch w:val="default"/>
    <w:embedRegular r:id="rId1" w:fontKey="{B5AD57F0-F164-4865-8EB2-499BBA62F277}"/>
  </w:font>
  <w:font w:name="Tahoma">
    <w:panose1 w:val="020B0604030504040204"/>
    <w:charset w:val="00"/>
    <w:family w:val="swiss"/>
    <w:pitch w:val="variable"/>
    <w:sig w:usb0="E1002EFF" w:usb1="C000605B" w:usb2="00000029" w:usb3="00000000" w:csb0="000101FF" w:csb1="00000000"/>
    <w:embedRegular r:id="rId2" w:fontKey="{2E2A96D4-FBF6-4153-984A-5699E8EF5BCF}"/>
    <w:embedBold r:id="rId3" w:fontKey="{65D58688-B536-4998-8FCB-D6AB593E30E9}"/>
    <w:embedItalic r:id="rId4" w:fontKey="{6F49C8B0-45CB-4E6C-989F-A69F896E3560}"/>
    <w:embedBoldItalic r:id="rId5" w:fontKey="{D91AD5B8-7AE7-47D5-81E5-9A21CC809E02}"/>
  </w:font>
  <w:font w:name="Ecofont_Spranq_eco_Sans">
    <w:altName w:val="MV Boli"/>
    <w:charset w:val="00"/>
    <w:family w:val="auto"/>
    <w:pitch w:val="default"/>
  </w:font>
  <w:font w:name="Calibri">
    <w:panose1 w:val="020F0502020204030204"/>
    <w:charset w:val="00"/>
    <w:family w:val="swiss"/>
    <w:pitch w:val="variable"/>
    <w:sig w:usb0="E4002EFF" w:usb1="C200247B" w:usb2="00000009" w:usb3="00000000" w:csb0="000001FF" w:csb1="00000000"/>
    <w:embedRegular r:id="rId6" w:fontKey="{D6ED9F34-E497-468F-84C1-7B949D5B555E}"/>
    <w:embedBold r:id="rId7" w:fontKey="{6B3EDEDE-1260-4E7B-8C73-3F4159AACA08}"/>
    <w:embedItalic r:id="rId8" w:fontKey="{4438B3E5-0F4E-43CD-B5AE-1DC3F27BBAE4}"/>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Liberation Serif">
    <w:altName w:val="Segoe Print"/>
    <w:charset w:val="00"/>
    <w:family w:val="auto"/>
    <w:pitch w:val="default"/>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embedRegular r:id="rId9" w:fontKey="{1CEF4A56-6488-4E31-BBE9-AF382705A0F7}"/>
  </w:font>
  <w:font w:name="Cambria">
    <w:panose1 w:val="02040503050406030204"/>
    <w:charset w:val="00"/>
    <w:family w:val="roman"/>
    <w:pitch w:val="variable"/>
    <w:sig w:usb0="E00006FF" w:usb1="420024FF" w:usb2="02000000" w:usb3="00000000" w:csb0="0000019F" w:csb1="00000000"/>
    <w:embedRegular r:id="rId10" w:fontKey="{22ADC80E-2837-4F84-8C5F-9182AF5169A5}"/>
    <w:embedBoldItalic r:id="rId11" w:fontKey="{592B3FDC-BB54-4E4C-9AD0-BCA02D0EA783}"/>
  </w:font>
  <w:font w:name="Georgia">
    <w:panose1 w:val="02040502050405020303"/>
    <w:charset w:val="00"/>
    <w:family w:val="roman"/>
    <w:pitch w:val="variable"/>
    <w:sig w:usb0="00000287" w:usb1="00000000" w:usb2="00000000" w:usb3="00000000" w:csb0="0000009F" w:csb1="00000000"/>
    <w:embedRegular r:id="rId12" w:fontKey="{13B7A79C-9469-4C41-B3D2-830A0E8D4937}"/>
    <w:embedItalic r:id="rId13" w:fontKey="{473E9D7F-FFA0-486C-91A0-8F4F3D8DFC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8A875" w14:textId="77777777" w:rsidR="00D05504" w:rsidRDefault="00004375">
    <w:pPr>
      <w:pBdr>
        <w:top w:val="nil"/>
        <w:left w:val="nil"/>
        <w:bottom w:val="nil"/>
        <w:right w:val="nil"/>
        <w:between w:val="nil"/>
      </w:pBdr>
      <w:tabs>
        <w:tab w:val="center" w:pos="4252"/>
        <w:tab w:val="right" w:pos="8504"/>
      </w:tabs>
      <w:rPr>
        <w:rFonts w:ascii="Arial" w:eastAsia="Arial" w:hAnsi="Arial" w:cs="Arial"/>
        <w:color w:val="7F7F7F"/>
        <w:sz w:val="18"/>
        <w:szCs w:val="18"/>
      </w:rPr>
    </w:pPr>
    <w:r>
      <w:rPr>
        <w:color w:val="7F7F7F"/>
        <w:sz w:val="22"/>
        <w:szCs w:val="22"/>
      </w:rPr>
      <w:tab/>
    </w:r>
    <w:r>
      <w:rPr>
        <w:color w:val="7F7F7F"/>
        <w:sz w:val="22"/>
        <w:szCs w:val="22"/>
      </w:rPr>
      <w:tab/>
    </w:r>
    <w:r>
      <w:rPr>
        <w:rFonts w:ascii="Arial" w:eastAsia="Arial" w:hAnsi="Arial" w:cs="Arial"/>
        <w:color w:val="595959"/>
        <w:sz w:val="18"/>
        <w:szCs w:val="18"/>
      </w:rPr>
      <w:t xml:space="preserve">Página </w:t>
    </w:r>
    <w:r>
      <w:rPr>
        <w:rFonts w:ascii="Arial" w:eastAsia="Arial" w:hAnsi="Arial" w:cs="Arial"/>
        <w:color w:val="595959"/>
        <w:sz w:val="18"/>
        <w:szCs w:val="18"/>
      </w:rPr>
      <w:fldChar w:fldCharType="begin"/>
    </w:r>
    <w:r>
      <w:rPr>
        <w:rFonts w:ascii="Arial" w:eastAsia="Arial" w:hAnsi="Arial" w:cs="Arial"/>
        <w:color w:val="595959"/>
        <w:sz w:val="18"/>
        <w:szCs w:val="18"/>
      </w:rPr>
      <w:instrText>PAGE</w:instrText>
    </w:r>
    <w:r>
      <w:rPr>
        <w:rFonts w:ascii="Arial" w:eastAsia="Arial" w:hAnsi="Arial" w:cs="Arial"/>
        <w:color w:val="595959"/>
        <w:sz w:val="18"/>
        <w:szCs w:val="18"/>
      </w:rPr>
      <w:fldChar w:fldCharType="separate"/>
    </w:r>
    <w:r w:rsidR="000859B6">
      <w:rPr>
        <w:rFonts w:ascii="Arial" w:eastAsia="Arial" w:hAnsi="Arial" w:cs="Arial"/>
        <w:noProof/>
        <w:color w:val="595959"/>
        <w:sz w:val="18"/>
        <w:szCs w:val="18"/>
      </w:rPr>
      <w:t>1</w:t>
    </w:r>
    <w:r>
      <w:rPr>
        <w:rFonts w:ascii="Arial" w:eastAsia="Arial" w:hAnsi="Arial" w:cs="Arial"/>
        <w:color w:val="595959"/>
        <w:sz w:val="18"/>
        <w:szCs w:val="18"/>
      </w:rPr>
      <w:fldChar w:fldCharType="end"/>
    </w:r>
    <w:r>
      <w:rPr>
        <w:rFonts w:ascii="Arial" w:eastAsia="Arial" w:hAnsi="Arial" w:cs="Arial"/>
        <w:color w:val="595959"/>
        <w:sz w:val="18"/>
        <w:szCs w:val="18"/>
      </w:rPr>
      <w:t xml:space="preserve"> | </w:t>
    </w:r>
    <w:r>
      <w:rPr>
        <w:rFonts w:ascii="Arial" w:eastAsia="Arial" w:hAnsi="Arial" w:cs="Arial"/>
        <w:color w:val="595959"/>
        <w:sz w:val="18"/>
        <w:szCs w:val="18"/>
      </w:rPr>
      <w:fldChar w:fldCharType="begin"/>
    </w:r>
    <w:r>
      <w:rPr>
        <w:rFonts w:ascii="Arial" w:eastAsia="Arial" w:hAnsi="Arial" w:cs="Arial"/>
        <w:color w:val="595959"/>
        <w:sz w:val="18"/>
        <w:szCs w:val="18"/>
      </w:rPr>
      <w:instrText>NUMPAGES</w:instrText>
    </w:r>
    <w:r>
      <w:rPr>
        <w:rFonts w:ascii="Arial" w:eastAsia="Arial" w:hAnsi="Arial" w:cs="Arial"/>
        <w:color w:val="595959"/>
        <w:sz w:val="18"/>
        <w:szCs w:val="18"/>
      </w:rPr>
      <w:fldChar w:fldCharType="separate"/>
    </w:r>
    <w:r w:rsidR="000859B6">
      <w:rPr>
        <w:rFonts w:ascii="Arial" w:eastAsia="Arial" w:hAnsi="Arial" w:cs="Arial"/>
        <w:noProof/>
        <w:color w:val="595959"/>
        <w:sz w:val="18"/>
        <w:szCs w:val="18"/>
      </w:rPr>
      <w:t>2</w:t>
    </w:r>
    <w:r>
      <w:rPr>
        <w:rFonts w:ascii="Arial" w:eastAsia="Arial" w:hAnsi="Arial" w:cs="Arial"/>
        <w:color w:val="595959"/>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ECD31" w14:textId="77777777" w:rsidR="001E0F7A" w:rsidRDefault="001E0F7A">
      <w:r>
        <w:separator/>
      </w:r>
    </w:p>
  </w:footnote>
  <w:footnote w:type="continuationSeparator" w:id="0">
    <w:p w14:paraId="5EA2F9EF" w14:textId="77777777" w:rsidR="001E0F7A" w:rsidRDefault="001E0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461E1" w14:textId="77777777" w:rsidR="00D05504" w:rsidRDefault="00D05504">
    <w:pPr>
      <w:pBdr>
        <w:top w:val="nil"/>
        <w:left w:val="nil"/>
        <w:bottom w:val="nil"/>
        <w:right w:val="nil"/>
        <w:between w:val="nil"/>
      </w:pBdr>
      <w:tabs>
        <w:tab w:val="center" w:pos="4252"/>
        <w:tab w:val="right" w:pos="8504"/>
      </w:tabs>
      <w:rPr>
        <w:color w:val="000000"/>
      </w:rPr>
    </w:pPr>
  </w:p>
  <w:p w14:paraId="2F0BA5BE" w14:textId="77777777" w:rsidR="00D05504" w:rsidRDefault="00D05504">
    <w:pPr>
      <w:pBdr>
        <w:top w:val="nil"/>
        <w:left w:val="nil"/>
        <w:bottom w:val="nil"/>
        <w:right w:val="nil"/>
        <w:between w:val="nil"/>
      </w:pBdr>
      <w:ind w:left="720" w:firstLine="414"/>
      <w:rPr>
        <w:rFonts w:ascii="Arial" w:eastAsia="Arial" w:hAnsi="Arial" w:cs="Arial"/>
        <w:b/>
        <w:color w:val="000000"/>
        <w:sz w:val="16"/>
        <w:szCs w:val="16"/>
      </w:rPr>
    </w:pPr>
  </w:p>
  <w:p w14:paraId="6CE23BEB" w14:textId="77777777" w:rsidR="00D05504" w:rsidRDefault="00004375">
    <w:pPr>
      <w:pBdr>
        <w:top w:val="nil"/>
        <w:left w:val="nil"/>
        <w:bottom w:val="nil"/>
        <w:right w:val="nil"/>
        <w:between w:val="nil"/>
      </w:pBdr>
      <w:ind w:left="720" w:firstLine="414"/>
      <w:rPr>
        <w:rFonts w:ascii="Arial" w:eastAsia="Arial" w:hAnsi="Arial" w:cs="Arial"/>
        <w:b/>
        <w:color w:val="000000"/>
        <w:sz w:val="16"/>
        <w:szCs w:val="16"/>
      </w:rPr>
    </w:pPr>
    <w:r>
      <w:rPr>
        <w:rFonts w:ascii="Arial" w:eastAsia="Arial" w:hAnsi="Arial" w:cs="Arial"/>
        <w:b/>
        <w:color w:val="000000"/>
        <w:sz w:val="16"/>
        <w:szCs w:val="16"/>
      </w:rPr>
      <w:t>ESTADO DA BAHIA</w:t>
    </w:r>
    <w:r>
      <w:rPr>
        <w:noProof/>
      </w:rPr>
      <w:drawing>
        <wp:anchor distT="0" distB="0" distL="114300" distR="114300" simplePos="0" relativeHeight="251658240" behindDoc="0" locked="0" layoutInCell="1" hidden="0" allowOverlap="1" wp14:anchorId="5D210531" wp14:editId="56D10CD4">
          <wp:simplePos x="0" y="0"/>
          <wp:positionH relativeFrom="column">
            <wp:posOffset>-25176</wp:posOffset>
          </wp:positionH>
          <wp:positionV relativeFrom="paragraph">
            <wp:posOffset>5245</wp:posOffset>
          </wp:positionV>
          <wp:extent cx="567441" cy="548640"/>
          <wp:effectExtent l="0" t="0" r="0" b="0"/>
          <wp:wrapNone/>
          <wp:docPr id="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67441" cy="548640"/>
                  </a:xfrm>
                  <a:prstGeom prst="rect">
                    <a:avLst/>
                  </a:prstGeom>
                  <a:ln/>
                </pic:spPr>
              </pic:pic>
            </a:graphicData>
          </a:graphic>
        </wp:anchor>
      </w:drawing>
    </w:r>
  </w:p>
  <w:p w14:paraId="3E2194AA" w14:textId="77777777" w:rsidR="00D05504" w:rsidRDefault="00004375">
    <w:pPr>
      <w:pBdr>
        <w:top w:val="nil"/>
        <w:left w:val="nil"/>
        <w:bottom w:val="nil"/>
        <w:right w:val="nil"/>
        <w:between w:val="nil"/>
      </w:pBdr>
      <w:ind w:left="720" w:firstLine="414"/>
      <w:rPr>
        <w:rFonts w:ascii="Arial" w:eastAsia="Arial" w:hAnsi="Arial" w:cs="Arial"/>
        <w:b/>
        <w:color w:val="000000"/>
        <w:sz w:val="16"/>
        <w:szCs w:val="16"/>
      </w:rPr>
    </w:pPr>
    <w:r>
      <w:rPr>
        <w:rFonts w:ascii="Arial" w:eastAsia="Arial" w:hAnsi="Arial" w:cs="Arial"/>
        <w:b/>
        <w:color w:val="000000"/>
        <w:sz w:val="16"/>
        <w:szCs w:val="16"/>
      </w:rPr>
      <w:t>PREFEITURA DE LAURO DE FREITAS</w:t>
    </w:r>
  </w:p>
  <w:p w14:paraId="295125FC" w14:textId="77777777" w:rsidR="00D05504" w:rsidRDefault="00004375">
    <w:pPr>
      <w:pBdr>
        <w:top w:val="nil"/>
        <w:left w:val="nil"/>
        <w:bottom w:val="nil"/>
        <w:right w:val="nil"/>
        <w:between w:val="nil"/>
      </w:pBdr>
      <w:ind w:left="720" w:firstLine="414"/>
      <w:rPr>
        <w:rFonts w:ascii="Arial" w:eastAsia="Arial" w:hAnsi="Arial" w:cs="Arial"/>
        <w:b/>
        <w:color w:val="000000"/>
        <w:sz w:val="16"/>
        <w:szCs w:val="16"/>
      </w:rPr>
    </w:pPr>
    <w:r>
      <w:rPr>
        <w:rFonts w:ascii="Arial" w:eastAsia="Arial" w:hAnsi="Arial" w:cs="Arial"/>
        <w:b/>
        <w:color w:val="000000"/>
        <w:sz w:val="16"/>
        <w:szCs w:val="16"/>
      </w:rPr>
      <w:t>SECRETARIA DE SAÚDE</w:t>
    </w:r>
  </w:p>
  <w:p w14:paraId="292B016D" w14:textId="77777777" w:rsidR="00D05504" w:rsidRDefault="00004375">
    <w:pPr>
      <w:pBdr>
        <w:top w:val="nil"/>
        <w:left w:val="nil"/>
        <w:bottom w:val="nil"/>
        <w:right w:val="nil"/>
        <w:between w:val="nil"/>
      </w:pBdr>
      <w:ind w:left="720" w:firstLine="414"/>
      <w:rPr>
        <w:rFonts w:ascii="Arial" w:eastAsia="Arial" w:hAnsi="Arial" w:cs="Arial"/>
        <w:b/>
        <w:color w:val="000000"/>
        <w:sz w:val="16"/>
        <w:szCs w:val="16"/>
      </w:rPr>
    </w:pPr>
    <w:r>
      <w:rPr>
        <w:rFonts w:ascii="Arial" w:eastAsia="Arial" w:hAnsi="Arial" w:cs="Arial"/>
        <w:b/>
        <w:color w:val="000000"/>
        <w:sz w:val="16"/>
        <w:szCs w:val="16"/>
      </w:rPr>
      <w:t>Avenida Luís Tarquínio, 600 - Centro, Lauro de Freitas – Bahia -CEP: 42700-000</w:t>
    </w:r>
  </w:p>
  <w:p w14:paraId="71E27402" w14:textId="77777777" w:rsidR="00D05504" w:rsidRDefault="00D05504">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63B26"/>
    <w:multiLevelType w:val="multilevel"/>
    <w:tmpl w:val="A8D22272"/>
    <w:lvl w:ilvl="0">
      <w:start w:val="5"/>
      <w:numFmt w:val="decimal"/>
      <w:lvlText w:val="%1"/>
      <w:lvlJc w:val="left"/>
      <w:pPr>
        <w:ind w:left="525" w:hanging="525"/>
      </w:pPr>
      <w:rPr>
        <w:i/>
        <w:color w:val="000000"/>
      </w:rPr>
    </w:lvl>
    <w:lvl w:ilvl="1">
      <w:start w:val="3"/>
      <w:numFmt w:val="decimal"/>
      <w:lvlText w:val="%1.%2"/>
      <w:lvlJc w:val="left"/>
      <w:pPr>
        <w:ind w:left="525" w:hanging="525"/>
      </w:pPr>
      <w:rPr>
        <w:i/>
        <w:color w:val="000000"/>
      </w:rPr>
    </w:lvl>
    <w:lvl w:ilvl="2">
      <w:start w:val="2"/>
      <w:numFmt w:val="decimal"/>
      <w:lvlText w:val="%1.%2.%3"/>
      <w:lvlJc w:val="left"/>
      <w:pPr>
        <w:ind w:left="720" w:hanging="720"/>
      </w:pPr>
      <w:rPr>
        <w:i/>
        <w:color w:val="000000"/>
      </w:rPr>
    </w:lvl>
    <w:lvl w:ilvl="3">
      <w:start w:val="1"/>
      <w:numFmt w:val="decimal"/>
      <w:lvlText w:val="%1.%2.%3.%4"/>
      <w:lvlJc w:val="left"/>
      <w:pPr>
        <w:ind w:left="1080" w:hanging="1080"/>
      </w:pPr>
      <w:rPr>
        <w:i/>
        <w:color w:val="000000"/>
      </w:rPr>
    </w:lvl>
    <w:lvl w:ilvl="4">
      <w:start w:val="1"/>
      <w:numFmt w:val="decimal"/>
      <w:lvlText w:val="%1.%2.%3.%4.%5"/>
      <w:lvlJc w:val="left"/>
      <w:pPr>
        <w:ind w:left="1080" w:hanging="1080"/>
      </w:pPr>
      <w:rPr>
        <w:i/>
        <w:color w:val="000000"/>
      </w:rPr>
    </w:lvl>
    <w:lvl w:ilvl="5">
      <w:start w:val="1"/>
      <w:numFmt w:val="decimal"/>
      <w:lvlText w:val="%1.%2.%3.%4.%5.%6"/>
      <w:lvlJc w:val="left"/>
      <w:pPr>
        <w:ind w:left="1440" w:hanging="1440"/>
      </w:pPr>
      <w:rPr>
        <w:i/>
        <w:color w:val="000000"/>
      </w:rPr>
    </w:lvl>
    <w:lvl w:ilvl="6">
      <w:start w:val="1"/>
      <w:numFmt w:val="decimal"/>
      <w:lvlText w:val="%1.%2.%3.%4.%5.%6.%7"/>
      <w:lvlJc w:val="left"/>
      <w:pPr>
        <w:ind w:left="1440" w:hanging="1440"/>
      </w:pPr>
      <w:rPr>
        <w:i/>
        <w:color w:val="000000"/>
      </w:rPr>
    </w:lvl>
    <w:lvl w:ilvl="7">
      <w:start w:val="1"/>
      <w:numFmt w:val="decimal"/>
      <w:lvlText w:val="%1.%2.%3.%4.%5.%6.%7.%8"/>
      <w:lvlJc w:val="left"/>
      <w:pPr>
        <w:ind w:left="1800" w:hanging="1800"/>
      </w:pPr>
      <w:rPr>
        <w:i/>
        <w:color w:val="000000"/>
      </w:rPr>
    </w:lvl>
    <w:lvl w:ilvl="8">
      <w:start w:val="1"/>
      <w:numFmt w:val="decimal"/>
      <w:lvlText w:val="%1.%2.%3.%4.%5.%6.%7.%8.%9"/>
      <w:lvlJc w:val="left"/>
      <w:pPr>
        <w:ind w:left="1800" w:hanging="1800"/>
      </w:pPr>
      <w:rPr>
        <w:i/>
        <w:color w:val="000000"/>
      </w:rPr>
    </w:lvl>
  </w:abstractNum>
  <w:abstractNum w:abstractNumId="1" w15:restartNumberingAfterBreak="0">
    <w:nsid w:val="0E923324"/>
    <w:multiLevelType w:val="multilevel"/>
    <w:tmpl w:val="43986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211895"/>
    <w:multiLevelType w:val="multilevel"/>
    <w:tmpl w:val="7EF640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334650F"/>
    <w:multiLevelType w:val="multilevel"/>
    <w:tmpl w:val="9408A078"/>
    <w:lvl w:ilvl="0">
      <w:start w:val="5"/>
      <w:numFmt w:val="decimal"/>
      <w:lvlText w:val="%1"/>
      <w:lvlJc w:val="left"/>
      <w:pPr>
        <w:ind w:left="525" w:hanging="525"/>
      </w:pPr>
    </w:lvl>
    <w:lvl w:ilvl="1">
      <w:start w:val="1"/>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17BA7E11"/>
    <w:multiLevelType w:val="multilevel"/>
    <w:tmpl w:val="58042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E40631"/>
    <w:multiLevelType w:val="multilevel"/>
    <w:tmpl w:val="54465F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E486809"/>
    <w:multiLevelType w:val="multilevel"/>
    <w:tmpl w:val="D4AED912"/>
    <w:lvl w:ilvl="0">
      <w:start w:val="6"/>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 w15:restartNumberingAfterBreak="0">
    <w:nsid w:val="23B92444"/>
    <w:multiLevelType w:val="multilevel"/>
    <w:tmpl w:val="02C48AF8"/>
    <w:lvl w:ilvl="0">
      <w:start w:val="1"/>
      <w:numFmt w:val="upperRoman"/>
      <w:lvlText w:val="%1)"/>
      <w:lvlJc w:val="left"/>
      <w:pPr>
        <w:ind w:left="862" w:hanging="72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8" w15:restartNumberingAfterBreak="0">
    <w:nsid w:val="2EE95A90"/>
    <w:multiLevelType w:val="multilevel"/>
    <w:tmpl w:val="09BA73A8"/>
    <w:lvl w:ilvl="0">
      <w:start w:val="4"/>
      <w:numFmt w:val="decimal"/>
      <w:lvlText w:val="%1"/>
      <w:lvlJc w:val="left"/>
      <w:pPr>
        <w:ind w:left="525" w:hanging="525"/>
      </w:pPr>
    </w:lvl>
    <w:lvl w:ilvl="1">
      <w:start w:val="1"/>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319D1433"/>
    <w:multiLevelType w:val="multilevel"/>
    <w:tmpl w:val="324A872C"/>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0" w15:restartNumberingAfterBreak="0">
    <w:nsid w:val="39827CC3"/>
    <w:multiLevelType w:val="multilevel"/>
    <w:tmpl w:val="4CC0C0B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3F07264A"/>
    <w:multiLevelType w:val="multilevel"/>
    <w:tmpl w:val="387652AC"/>
    <w:lvl w:ilvl="0">
      <w:start w:val="1"/>
      <w:numFmt w:val="decimal"/>
      <w:lvlText w:val="%1."/>
      <w:lvlJc w:val="left"/>
      <w:pPr>
        <w:ind w:left="360" w:hanging="360"/>
      </w:pPr>
      <w:rPr>
        <w:b/>
        <w:color w:val="000000"/>
      </w:rPr>
    </w:lvl>
    <w:lvl w:ilvl="1">
      <w:start w:val="1"/>
      <w:numFmt w:val="decimal"/>
      <w:lvlText w:val="%1.%2."/>
      <w:lvlJc w:val="left"/>
      <w:pPr>
        <w:ind w:left="2559" w:hanging="432"/>
      </w:pPr>
      <w:rPr>
        <w:b w:val="0"/>
        <w:i w:val="0"/>
        <w:strike w:val="0"/>
        <w:color w:val="000000"/>
        <w:sz w:val="20"/>
        <w:szCs w:val="20"/>
        <w:u w:val="none"/>
      </w:rPr>
    </w:lvl>
    <w:lvl w:ilvl="2">
      <w:start w:val="1"/>
      <w:numFmt w:val="decimal"/>
      <w:lvlText w:val="%1.%2.%3."/>
      <w:lvlJc w:val="left"/>
      <w:pPr>
        <w:ind w:left="2773" w:hanging="504"/>
      </w:pPr>
      <w:rPr>
        <w:rFonts w:ascii="Tahoma" w:eastAsia="Tahoma" w:hAnsi="Tahoma" w:cs="Tahoma"/>
        <w:b w:val="0"/>
        <w:i w:val="0"/>
        <w:strike w:val="0"/>
        <w:color w:val="000000"/>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4121620"/>
    <w:multiLevelType w:val="multilevel"/>
    <w:tmpl w:val="091E200E"/>
    <w:lvl w:ilvl="0">
      <w:start w:val="10"/>
      <w:numFmt w:val="decimal"/>
      <w:lvlText w:val="%1"/>
      <w:lvlJc w:val="left"/>
      <w:pPr>
        <w:ind w:left="375" w:hanging="375"/>
      </w:pPr>
    </w:lvl>
    <w:lvl w:ilvl="1">
      <w:start w:val="1"/>
      <w:numFmt w:val="decimal"/>
      <w:lvlText w:val="%1.%2"/>
      <w:lvlJc w:val="left"/>
      <w:pPr>
        <w:ind w:left="375" w:hanging="37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3" w15:restartNumberingAfterBreak="0">
    <w:nsid w:val="48300D02"/>
    <w:multiLevelType w:val="multilevel"/>
    <w:tmpl w:val="B2C4AD32"/>
    <w:lvl w:ilvl="0">
      <w:start w:val="6"/>
      <w:numFmt w:val="decimal"/>
      <w:lvlText w:val="%1"/>
      <w:lvlJc w:val="left"/>
      <w:pPr>
        <w:ind w:left="525" w:hanging="525"/>
      </w:pPr>
      <w:rPr>
        <w:i/>
        <w:color w:val="000000"/>
      </w:rPr>
    </w:lvl>
    <w:lvl w:ilvl="1">
      <w:start w:val="4"/>
      <w:numFmt w:val="decimal"/>
      <w:lvlText w:val="%1.%2"/>
      <w:lvlJc w:val="left"/>
      <w:pPr>
        <w:ind w:left="525" w:hanging="525"/>
      </w:pPr>
      <w:rPr>
        <w:i/>
        <w:color w:val="000000"/>
      </w:rPr>
    </w:lvl>
    <w:lvl w:ilvl="2">
      <w:start w:val="1"/>
      <w:numFmt w:val="decimal"/>
      <w:lvlText w:val="%1.%2.%3"/>
      <w:lvlJc w:val="left"/>
      <w:pPr>
        <w:ind w:left="720" w:hanging="720"/>
      </w:pPr>
      <w:rPr>
        <w:i w:val="0"/>
        <w:iCs/>
        <w:color w:val="000000"/>
      </w:rPr>
    </w:lvl>
    <w:lvl w:ilvl="3">
      <w:start w:val="1"/>
      <w:numFmt w:val="decimal"/>
      <w:lvlText w:val="%1.%2.%3.%4"/>
      <w:lvlJc w:val="left"/>
      <w:pPr>
        <w:ind w:left="1080" w:hanging="1080"/>
      </w:pPr>
      <w:rPr>
        <w:i/>
        <w:color w:val="000000"/>
      </w:rPr>
    </w:lvl>
    <w:lvl w:ilvl="4">
      <w:start w:val="1"/>
      <w:numFmt w:val="decimal"/>
      <w:lvlText w:val="%1.%2.%3.%4.%5"/>
      <w:lvlJc w:val="left"/>
      <w:pPr>
        <w:ind w:left="1080" w:hanging="1080"/>
      </w:pPr>
      <w:rPr>
        <w:i/>
        <w:color w:val="000000"/>
      </w:rPr>
    </w:lvl>
    <w:lvl w:ilvl="5">
      <w:start w:val="1"/>
      <w:numFmt w:val="decimal"/>
      <w:lvlText w:val="%1.%2.%3.%4.%5.%6"/>
      <w:lvlJc w:val="left"/>
      <w:pPr>
        <w:ind w:left="1440" w:hanging="1440"/>
      </w:pPr>
      <w:rPr>
        <w:i/>
        <w:color w:val="000000"/>
      </w:rPr>
    </w:lvl>
    <w:lvl w:ilvl="6">
      <w:start w:val="1"/>
      <w:numFmt w:val="decimal"/>
      <w:lvlText w:val="%1.%2.%3.%4.%5.%6.%7"/>
      <w:lvlJc w:val="left"/>
      <w:pPr>
        <w:ind w:left="1440" w:hanging="1440"/>
      </w:pPr>
      <w:rPr>
        <w:i/>
        <w:color w:val="000000"/>
      </w:rPr>
    </w:lvl>
    <w:lvl w:ilvl="7">
      <w:start w:val="1"/>
      <w:numFmt w:val="decimal"/>
      <w:lvlText w:val="%1.%2.%3.%4.%5.%6.%7.%8"/>
      <w:lvlJc w:val="left"/>
      <w:pPr>
        <w:ind w:left="1800" w:hanging="1800"/>
      </w:pPr>
      <w:rPr>
        <w:i/>
        <w:color w:val="000000"/>
      </w:rPr>
    </w:lvl>
    <w:lvl w:ilvl="8">
      <w:start w:val="1"/>
      <w:numFmt w:val="decimal"/>
      <w:lvlText w:val="%1.%2.%3.%4.%5.%6.%7.%8.%9"/>
      <w:lvlJc w:val="left"/>
      <w:pPr>
        <w:ind w:left="1800" w:hanging="1800"/>
      </w:pPr>
      <w:rPr>
        <w:i/>
        <w:color w:val="000000"/>
      </w:rPr>
    </w:lvl>
  </w:abstractNum>
  <w:abstractNum w:abstractNumId="14" w15:restartNumberingAfterBreak="0">
    <w:nsid w:val="4C371D2F"/>
    <w:multiLevelType w:val="multilevel"/>
    <w:tmpl w:val="75AE1D28"/>
    <w:lvl w:ilvl="0">
      <w:start w:val="1"/>
      <w:numFmt w:val="bullet"/>
      <w:lvlText w:val="✔"/>
      <w:lvlJc w:val="left"/>
      <w:pPr>
        <w:ind w:left="1854" w:hanging="360"/>
      </w:pPr>
      <w:rPr>
        <w:rFonts w:ascii="Noto Sans Symbols" w:eastAsia="Noto Sans Symbols" w:hAnsi="Noto Sans Symbols" w:cs="Noto Sans Symbols"/>
      </w:rPr>
    </w:lvl>
    <w:lvl w:ilvl="1">
      <w:start w:val="1"/>
      <w:numFmt w:val="bullet"/>
      <w:lvlText w:val="o"/>
      <w:lvlJc w:val="left"/>
      <w:pPr>
        <w:ind w:left="2574" w:hanging="360"/>
      </w:pPr>
      <w:rPr>
        <w:rFonts w:ascii="Courier New" w:eastAsia="Courier New" w:hAnsi="Courier New" w:cs="Courier New"/>
      </w:rPr>
    </w:lvl>
    <w:lvl w:ilvl="2">
      <w:start w:val="1"/>
      <w:numFmt w:val="bullet"/>
      <w:lvlText w:val="▪"/>
      <w:lvlJc w:val="left"/>
      <w:pPr>
        <w:ind w:left="3294" w:hanging="360"/>
      </w:pPr>
      <w:rPr>
        <w:rFonts w:ascii="Noto Sans Symbols" w:eastAsia="Noto Sans Symbols" w:hAnsi="Noto Sans Symbols" w:cs="Noto Sans Symbols"/>
      </w:rPr>
    </w:lvl>
    <w:lvl w:ilvl="3">
      <w:start w:val="1"/>
      <w:numFmt w:val="bullet"/>
      <w:lvlText w:val="●"/>
      <w:lvlJc w:val="left"/>
      <w:pPr>
        <w:ind w:left="4014" w:hanging="360"/>
      </w:pPr>
      <w:rPr>
        <w:rFonts w:ascii="Noto Sans Symbols" w:eastAsia="Noto Sans Symbols" w:hAnsi="Noto Sans Symbols" w:cs="Noto Sans Symbols"/>
      </w:rPr>
    </w:lvl>
    <w:lvl w:ilvl="4">
      <w:start w:val="1"/>
      <w:numFmt w:val="bullet"/>
      <w:lvlText w:val="o"/>
      <w:lvlJc w:val="left"/>
      <w:pPr>
        <w:ind w:left="4734" w:hanging="360"/>
      </w:pPr>
      <w:rPr>
        <w:rFonts w:ascii="Courier New" w:eastAsia="Courier New" w:hAnsi="Courier New" w:cs="Courier New"/>
      </w:rPr>
    </w:lvl>
    <w:lvl w:ilvl="5">
      <w:start w:val="1"/>
      <w:numFmt w:val="bullet"/>
      <w:lvlText w:val="▪"/>
      <w:lvlJc w:val="left"/>
      <w:pPr>
        <w:ind w:left="5454" w:hanging="360"/>
      </w:pPr>
      <w:rPr>
        <w:rFonts w:ascii="Noto Sans Symbols" w:eastAsia="Noto Sans Symbols" w:hAnsi="Noto Sans Symbols" w:cs="Noto Sans Symbols"/>
      </w:rPr>
    </w:lvl>
    <w:lvl w:ilvl="6">
      <w:start w:val="1"/>
      <w:numFmt w:val="bullet"/>
      <w:lvlText w:val="●"/>
      <w:lvlJc w:val="left"/>
      <w:pPr>
        <w:ind w:left="6174" w:hanging="360"/>
      </w:pPr>
      <w:rPr>
        <w:rFonts w:ascii="Noto Sans Symbols" w:eastAsia="Noto Sans Symbols" w:hAnsi="Noto Sans Symbols" w:cs="Noto Sans Symbols"/>
      </w:rPr>
    </w:lvl>
    <w:lvl w:ilvl="7">
      <w:start w:val="1"/>
      <w:numFmt w:val="bullet"/>
      <w:lvlText w:val="o"/>
      <w:lvlJc w:val="left"/>
      <w:pPr>
        <w:ind w:left="6894" w:hanging="360"/>
      </w:pPr>
      <w:rPr>
        <w:rFonts w:ascii="Courier New" w:eastAsia="Courier New" w:hAnsi="Courier New" w:cs="Courier New"/>
      </w:rPr>
    </w:lvl>
    <w:lvl w:ilvl="8">
      <w:start w:val="1"/>
      <w:numFmt w:val="bullet"/>
      <w:lvlText w:val="▪"/>
      <w:lvlJc w:val="left"/>
      <w:pPr>
        <w:ind w:left="7614" w:hanging="360"/>
      </w:pPr>
      <w:rPr>
        <w:rFonts w:ascii="Noto Sans Symbols" w:eastAsia="Noto Sans Symbols" w:hAnsi="Noto Sans Symbols" w:cs="Noto Sans Symbols"/>
      </w:rPr>
    </w:lvl>
  </w:abstractNum>
  <w:abstractNum w:abstractNumId="15" w15:restartNumberingAfterBreak="0">
    <w:nsid w:val="4E097DF1"/>
    <w:multiLevelType w:val="multilevel"/>
    <w:tmpl w:val="B404B3D0"/>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6" w15:restartNumberingAfterBreak="0">
    <w:nsid w:val="5C68537E"/>
    <w:multiLevelType w:val="multilevel"/>
    <w:tmpl w:val="85E4071A"/>
    <w:lvl w:ilvl="0">
      <w:start w:val="4"/>
      <w:numFmt w:val="decimal"/>
      <w:lvlText w:val="%1"/>
      <w:lvlJc w:val="left"/>
      <w:pPr>
        <w:ind w:left="525" w:hanging="525"/>
      </w:pPr>
      <w:rPr>
        <w:i/>
        <w:color w:val="000000"/>
      </w:rPr>
    </w:lvl>
    <w:lvl w:ilvl="1">
      <w:start w:val="3"/>
      <w:numFmt w:val="decimal"/>
      <w:lvlText w:val="%1.%2"/>
      <w:lvlJc w:val="left"/>
      <w:pPr>
        <w:ind w:left="525" w:hanging="525"/>
      </w:pPr>
      <w:rPr>
        <w:i/>
        <w:color w:val="000000"/>
      </w:rPr>
    </w:lvl>
    <w:lvl w:ilvl="2">
      <w:start w:val="1"/>
      <w:numFmt w:val="decimal"/>
      <w:lvlText w:val="%1.%2.%3"/>
      <w:lvlJc w:val="left"/>
      <w:pPr>
        <w:ind w:left="720" w:hanging="720"/>
      </w:pPr>
      <w:rPr>
        <w:i/>
        <w:color w:val="000000"/>
      </w:rPr>
    </w:lvl>
    <w:lvl w:ilvl="3">
      <w:start w:val="1"/>
      <w:numFmt w:val="decimal"/>
      <w:lvlText w:val="%1.%2.%3.%4"/>
      <w:lvlJc w:val="left"/>
      <w:pPr>
        <w:ind w:left="1080" w:hanging="1080"/>
      </w:pPr>
      <w:rPr>
        <w:i/>
        <w:color w:val="000000"/>
      </w:rPr>
    </w:lvl>
    <w:lvl w:ilvl="4">
      <w:start w:val="1"/>
      <w:numFmt w:val="decimal"/>
      <w:lvlText w:val="%1.%2.%3.%4.%5"/>
      <w:lvlJc w:val="left"/>
      <w:pPr>
        <w:ind w:left="1080" w:hanging="1080"/>
      </w:pPr>
      <w:rPr>
        <w:i/>
        <w:color w:val="000000"/>
      </w:rPr>
    </w:lvl>
    <w:lvl w:ilvl="5">
      <w:start w:val="1"/>
      <w:numFmt w:val="decimal"/>
      <w:lvlText w:val="%1.%2.%3.%4.%5.%6"/>
      <w:lvlJc w:val="left"/>
      <w:pPr>
        <w:ind w:left="1440" w:hanging="1440"/>
      </w:pPr>
      <w:rPr>
        <w:i/>
        <w:color w:val="000000"/>
      </w:rPr>
    </w:lvl>
    <w:lvl w:ilvl="6">
      <w:start w:val="1"/>
      <w:numFmt w:val="decimal"/>
      <w:lvlText w:val="%1.%2.%3.%4.%5.%6.%7"/>
      <w:lvlJc w:val="left"/>
      <w:pPr>
        <w:ind w:left="1440" w:hanging="1440"/>
      </w:pPr>
      <w:rPr>
        <w:i/>
        <w:color w:val="000000"/>
      </w:rPr>
    </w:lvl>
    <w:lvl w:ilvl="7">
      <w:start w:val="1"/>
      <w:numFmt w:val="decimal"/>
      <w:lvlText w:val="%1.%2.%3.%4.%5.%6.%7.%8"/>
      <w:lvlJc w:val="left"/>
      <w:pPr>
        <w:ind w:left="1800" w:hanging="1800"/>
      </w:pPr>
      <w:rPr>
        <w:i/>
        <w:color w:val="000000"/>
      </w:rPr>
    </w:lvl>
    <w:lvl w:ilvl="8">
      <w:start w:val="1"/>
      <w:numFmt w:val="decimal"/>
      <w:lvlText w:val="%1.%2.%3.%4.%5.%6.%7.%8.%9"/>
      <w:lvlJc w:val="left"/>
      <w:pPr>
        <w:ind w:left="1800" w:hanging="1800"/>
      </w:pPr>
      <w:rPr>
        <w:i/>
        <w:color w:val="000000"/>
      </w:rPr>
    </w:lvl>
  </w:abstractNum>
  <w:abstractNum w:abstractNumId="17" w15:restartNumberingAfterBreak="0">
    <w:nsid w:val="5F3540B9"/>
    <w:multiLevelType w:val="multilevel"/>
    <w:tmpl w:val="5484D314"/>
    <w:lvl w:ilvl="0">
      <w:start w:val="7"/>
      <w:numFmt w:val="decimal"/>
      <w:lvlText w:val="%1"/>
      <w:lvlJc w:val="left"/>
      <w:pPr>
        <w:ind w:left="465" w:hanging="465"/>
      </w:pPr>
    </w:lvl>
    <w:lvl w:ilvl="1">
      <w:start w:val="10"/>
      <w:numFmt w:val="decimal"/>
      <w:lvlText w:val="%1.%2"/>
      <w:lvlJc w:val="left"/>
      <w:pPr>
        <w:ind w:left="465" w:hanging="46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8" w15:restartNumberingAfterBreak="0">
    <w:nsid w:val="60B12D4A"/>
    <w:multiLevelType w:val="multilevel"/>
    <w:tmpl w:val="6EBEFAE6"/>
    <w:lvl w:ilvl="0">
      <w:start w:val="1"/>
      <w:numFmt w:val="bullet"/>
      <w:lvlText w:val="✔"/>
      <w:lvlJc w:val="left"/>
      <w:pPr>
        <w:ind w:left="1427" w:hanging="360"/>
      </w:pPr>
      <w:rPr>
        <w:rFonts w:ascii="Noto Sans Symbols" w:eastAsia="Noto Sans Symbols" w:hAnsi="Noto Sans Symbols" w:cs="Noto Sans Symbols"/>
      </w:rPr>
    </w:lvl>
    <w:lvl w:ilvl="1">
      <w:start w:val="1"/>
      <w:numFmt w:val="bullet"/>
      <w:lvlText w:val="o"/>
      <w:lvlJc w:val="left"/>
      <w:pPr>
        <w:ind w:left="2147" w:hanging="360"/>
      </w:pPr>
      <w:rPr>
        <w:rFonts w:ascii="Courier New" w:eastAsia="Courier New" w:hAnsi="Courier New" w:cs="Courier New"/>
      </w:rPr>
    </w:lvl>
    <w:lvl w:ilvl="2">
      <w:start w:val="1"/>
      <w:numFmt w:val="bullet"/>
      <w:lvlText w:val="▪"/>
      <w:lvlJc w:val="left"/>
      <w:pPr>
        <w:ind w:left="2867" w:hanging="360"/>
      </w:pPr>
      <w:rPr>
        <w:rFonts w:ascii="Noto Sans Symbols" w:eastAsia="Noto Sans Symbols" w:hAnsi="Noto Sans Symbols" w:cs="Noto Sans Symbols"/>
      </w:rPr>
    </w:lvl>
    <w:lvl w:ilvl="3">
      <w:start w:val="1"/>
      <w:numFmt w:val="bullet"/>
      <w:lvlText w:val="●"/>
      <w:lvlJc w:val="left"/>
      <w:pPr>
        <w:ind w:left="3587" w:hanging="360"/>
      </w:pPr>
      <w:rPr>
        <w:rFonts w:ascii="Noto Sans Symbols" w:eastAsia="Noto Sans Symbols" w:hAnsi="Noto Sans Symbols" w:cs="Noto Sans Symbols"/>
      </w:rPr>
    </w:lvl>
    <w:lvl w:ilvl="4">
      <w:start w:val="1"/>
      <w:numFmt w:val="bullet"/>
      <w:lvlText w:val="o"/>
      <w:lvlJc w:val="left"/>
      <w:pPr>
        <w:ind w:left="4307" w:hanging="360"/>
      </w:pPr>
      <w:rPr>
        <w:rFonts w:ascii="Courier New" w:eastAsia="Courier New" w:hAnsi="Courier New" w:cs="Courier New"/>
      </w:rPr>
    </w:lvl>
    <w:lvl w:ilvl="5">
      <w:start w:val="1"/>
      <w:numFmt w:val="bullet"/>
      <w:lvlText w:val="▪"/>
      <w:lvlJc w:val="left"/>
      <w:pPr>
        <w:ind w:left="5027" w:hanging="360"/>
      </w:pPr>
      <w:rPr>
        <w:rFonts w:ascii="Noto Sans Symbols" w:eastAsia="Noto Sans Symbols" w:hAnsi="Noto Sans Symbols" w:cs="Noto Sans Symbols"/>
      </w:rPr>
    </w:lvl>
    <w:lvl w:ilvl="6">
      <w:start w:val="1"/>
      <w:numFmt w:val="bullet"/>
      <w:lvlText w:val="●"/>
      <w:lvlJc w:val="left"/>
      <w:pPr>
        <w:ind w:left="5747" w:hanging="360"/>
      </w:pPr>
      <w:rPr>
        <w:rFonts w:ascii="Noto Sans Symbols" w:eastAsia="Noto Sans Symbols" w:hAnsi="Noto Sans Symbols" w:cs="Noto Sans Symbols"/>
      </w:rPr>
    </w:lvl>
    <w:lvl w:ilvl="7">
      <w:start w:val="1"/>
      <w:numFmt w:val="bullet"/>
      <w:lvlText w:val="o"/>
      <w:lvlJc w:val="left"/>
      <w:pPr>
        <w:ind w:left="6467" w:hanging="360"/>
      </w:pPr>
      <w:rPr>
        <w:rFonts w:ascii="Courier New" w:eastAsia="Courier New" w:hAnsi="Courier New" w:cs="Courier New"/>
      </w:rPr>
    </w:lvl>
    <w:lvl w:ilvl="8">
      <w:start w:val="1"/>
      <w:numFmt w:val="bullet"/>
      <w:lvlText w:val="▪"/>
      <w:lvlJc w:val="left"/>
      <w:pPr>
        <w:ind w:left="7187" w:hanging="360"/>
      </w:pPr>
      <w:rPr>
        <w:rFonts w:ascii="Noto Sans Symbols" w:eastAsia="Noto Sans Symbols" w:hAnsi="Noto Sans Symbols" w:cs="Noto Sans Symbols"/>
      </w:rPr>
    </w:lvl>
  </w:abstractNum>
  <w:abstractNum w:abstractNumId="19" w15:restartNumberingAfterBreak="0">
    <w:nsid w:val="72986ECA"/>
    <w:multiLevelType w:val="multilevel"/>
    <w:tmpl w:val="22EE5462"/>
    <w:lvl w:ilvl="0">
      <w:start w:val="8"/>
      <w:numFmt w:val="decimal"/>
      <w:lvlText w:val="%1"/>
      <w:lvlJc w:val="left"/>
      <w:pPr>
        <w:ind w:left="525" w:hanging="525"/>
      </w:pPr>
      <w:rPr>
        <w:color w:val="000000"/>
      </w:rPr>
    </w:lvl>
    <w:lvl w:ilvl="1">
      <w:start w:val="4"/>
      <w:numFmt w:val="decimal"/>
      <w:lvlText w:val="%1.%2"/>
      <w:lvlJc w:val="left"/>
      <w:pPr>
        <w:ind w:left="808" w:hanging="525"/>
      </w:pPr>
      <w:rPr>
        <w:color w:val="000000"/>
      </w:rPr>
    </w:lvl>
    <w:lvl w:ilvl="2">
      <w:start w:val="1"/>
      <w:numFmt w:val="decimal"/>
      <w:lvlText w:val="%1.%2.%3"/>
      <w:lvlJc w:val="left"/>
      <w:pPr>
        <w:ind w:left="1286" w:hanging="720"/>
      </w:pPr>
      <w:rPr>
        <w:color w:val="000000"/>
      </w:rPr>
    </w:lvl>
    <w:lvl w:ilvl="3">
      <w:start w:val="1"/>
      <w:numFmt w:val="decimal"/>
      <w:lvlText w:val="%1.%2.%3.%4"/>
      <w:lvlJc w:val="left"/>
      <w:pPr>
        <w:ind w:left="1929" w:hanging="1080"/>
      </w:pPr>
      <w:rPr>
        <w:color w:val="000000"/>
      </w:rPr>
    </w:lvl>
    <w:lvl w:ilvl="4">
      <w:start w:val="1"/>
      <w:numFmt w:val="decimal"/>
      <w:lvlText w:val="%1.%2.%3.%4.%5"/>
      <w:lvlJc w:val="left"/>
      <w:pPr>
        <w:ind w:left="2212" w:hanging="1080"/>
      </w:pPr>
      <w:rPr>
        <w:color w:val="000000"/>
      </w:rPr>
    </w:lvl>
    <w:lvl w:ilvl="5">
      <w:start w:val="1"/>
      <w:numFmt w:val="decimal"/>
      <w:lvlText w:val="%1.%2.%3.%4.%5.%6"/>
      <w:lvlJc w:val="left"/>
      <w:pPr>
        <w:ind w:left="2855" w:hanging="1440"/>
      </w:pPr>
      <w:rPr>
        <w:color w:val="000000"/>
      </w:rPr>
    </w:lvl>
    <w:lvl w:ilvl="6">
      <w:start w:val="1"/>
      <w:numFmt w:val="decimal"/>
      <w:lvlText w:val="%1.%2.%3.%4.%5.%6.%7"/>
      <w:lvlJc w:val="left"/>
      <w:pPr>
        <w:ind w:left="3138" w:hanging="1440"/>
      </w:pPr>
      <w:rPr>
        <w:color w:val="000000"/>
      </w:rPr>
    </w:lvl>
    <w:lvl w:ilvl="7">
      <w:start w:val="1"/>
      <w:numFmt w:val="decimal"/>
      <w:lvlText w:val="%1.%2.%3.%4.%5.%6.%7.%8"/>
      <w:lvlJc w:val="left"/>
      <w:pPr>
        <w:ind w:left="3781" w:hanging="1799"/>
      </w:pPr>
      <w:rPr>
        <w:color w:val="000000"/>
      </w:rPr>
    </w:lvl>
    <w:lvl w:ilvl="8">
      <w:start w:val="1"/>
      <w:numFmt w:val="decimal"/>
      <w:lvlText w:val="%1.%2.%3.%4.%5.%6.%7.%8.%9"/>
      <w:lvlJc w:val="left"/>
      <w:pPr>
        <w:ind w:left="4064" w:hanging="1800"/>
      </w:pPr>
      <w:rPr>
        <w:color w:val="000000"/>
      </w:rPr>
    </w:lvl>
  </w:abstractNum>
  <w:abstractNum w:abstractNumId="20" w15:restartNumberingAfterBreak="0">
    <w:nsid w:val="75CD780F"/>
    <w:multiLevelType w:val="multilevel"/>
    <w:tmpl w:val="49A22602"/>
    <w:lvl w:ilvl="0">
      <w:start w:val="6"/>
      <w:numFmt w:val="decimal"/>
      <w:lvlText w:val="%1"/>
      <w:lvlJc w:val="left"/>
      <w:pPr>
        <w:ind w:left="525" w:hanging="525"/>
      </w:pPr>
      <w:rPr>
        <w:color w:val="000000"/>
      </w:rPr>
    </w:lvl>
    <w:lvl w:ilvl="1">
      <w:start w:val="2"/>
      <w:numFmt w:val="decimal"/>
      <w:lvlText w:val="%1.%2"/>
      <w:lvlJc w:val="left"/>
      <w:pPr>
        <w:ind w:left="525" w:hanging="525"/>
      </w:pPr>
      <w:rPr>
        <w:color w:val="000000"/>
      </w:rPr>
    </w:lvl>
    <w:lvl w:ilvl="2">
      <w:start w:val="2"/>
      <w:numFmt w:val="decimal"/>
      <w:lvlText w:val="%1.%2.%3"/>
      <w:lvlJc w:val="left"/>
      <w:pPr>
        <w:ind w:left="720" w:hanging="720"/>
      </w:pPr>
      <w:rPr>
        <w:color w:val="000000"/>
      </w:rPr>
    </w:lvl>
    <w:lvl w:ilvl="3">
      <w:start w:val="1"/>
      <w:numFmt w:val="decimal"/>
      <w:lvlText w:val="%1.%2.%3.%4"/>
      <w:lvlJc w:val="left"/>
      <w:pPr>
        <w:ind w:left="1080" w:hanging="108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440" w:hanging="144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800" w:hanging="1800"/>
      </w:pPr>
      <w:rPr>
        <w:color w:val="000000"/>
      </w:rPr>
    </w:lvl>
    <w:lvl w:ilvl="8">
      <w:start w:val="1"/>
      <w:numFmt w:val="decimal"/>
      <w:lvlText w:val="%1.%2.%3.%4.%5.%6.%7.%8.%9"/>
      <w:lvlJc w:val="left"/>
      <w:pPr>
        <w:ind w:left="1800" w:hanging="1800"/>
      </w:pPr>
      <w:rPr>
        <w:color w:val="000000"/>
      </w:rPr>
    </w:lvl>
  </w:abstractNum>
  <w:abstractNum w:abstractNumId="21" w15:restartNumberingAfterBreak="0">
    <w:nsid w:val="79F57609"/>
    <w:multiLevelType w:val="multilevel"/>
    <w:tmpl w:val="F0ACB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56581761">
    <w:abstractNumId w:val="10"/>
  </w:num>
  <w:num w:numId="2" w16cid:durableId="1748529935">
    <w:abstractNumId w:val="17"/>
  </w:num>
  <w:num w:numId="3" w16cid:durableId="1623998820">
    <w:abstractNumId w:val="5"/>
  </w:num>
  <w:num w:numId="4" w16cid:durableId="1789543163">
    <w:abstractNumId w:val="12"/>
  </w:num>
  <w:num w:numId="5" w16cid:durableId="296572459">
    <w:abstractNumId w:val="19"/>
  </w:num>
  <w:num w:numId="6" w16cid:durableId="99885048">
    <w:abstractNumId w:val="18"/>
  </w:num>
  <w:num w:numId="7" w16cid:durableId="374014777">
    <w:abstractNumId w:val="14"/>
  </w:num>
  <w:num w:numId="8" w16cid:durableId="1087850256">
    <w:abstractNumId w:val="8"/>
  </w:num>
  <w:num w:numId="9" w16cid:durableId="471142374">
    <w:abstractNumId w:val="2"/>
  </w:num>
  <w:num w:numId="10" w16cid:durableId="1108961977">
    <w:abstractNumId w:val="7"/>
  </w:num>
  <w:num w:numId="11" w16cid:durableId="1696272847">
    <w:abstractNumId w:val="15"/>
  </w:num>
  <w:num w:numId="12" w16cid:durableId="1674916403">
    <w:abstractNumId w:val="16"/>
  </w:num>
  <w:num w:numId="13" w16cid:durableId="1740134317">
    <w:abstractNumId w:val="3"/>
  </w:num>
  <w:num w:numId="14" w16cid:durableId="1057625068">
    <w:abstractNumId w:val="11"/>
  </w:num>
  <w:num w:numId="15" w16cid:durableId="1797940983">
    <w:abstractNumId w:val="0"/>
  </w:num>
  <w:num w:numId="16" w16cid:durableId="379982331">
    <w:abstractNumId w:val="6"/>
  </w:num>
  <w:num w:numId="17" w16cid:durableId="618147515">
    <w:abstractNumId w:val="9"/>
  </w:num>
  <w:num w:numId="18" w16cid:durableId="1937977922">
    <w:abstractNumId w:val="20"/>
  </w:num>
  <w:num w:numId="19" w16cid:durableId="2047487907">
    <w:abstractNumId w:val="13"/>
  </w:num>
  <w:num w:numId="20" w16cid:durableId="711687389">
    <w:abstractNumId w:val="4"/>
  </w:num>
  <w:num w:numId="21" w16cid:durableId="535701543">
    <w:abstractNumId w:val="21"/>
  </w:num>
  <w:num w:numId="22" w16cid:durableId="20104053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504"/>
    <w:rsid w:val="00004375"/>
    <w:rsid w:val="000859B6"/>
    <w:rsid w:val="000C10E1"/>
    <w:rsid w:val="001777D3"/>
    <w:rsid w:val="001E0F7A"/>
    <w:rsid w:val="0023200B"/>
    <w:rsid w:val="00240317"/>
    <w:rsid w:val="003424EF"/>
    <w:rsid w:val="00477B12"/>
    <w:rsid w:val="004F743E"/>
    <w:rsid w:val="0052684D"/>
    <w:rsid w:val="0062446E"/>
    <w:rsid w:val="00634DA7"/>
    <w:rsid w:val="00664022"/>
    <w:rsid w:val="006F74F7"/>
    <w:rsid w:val="00732AC8"/>
    <w:rsid w:val="007B3125"/>
    <w:rsid w:val="007E02E2"/>
    <w:rsid w:val="0080736E"/>
    <w:rsid w:val="00946D4E"/>
    <w:rsid w:val="009A0E1D"/>
    <w:rsid w:val="009A2CAC"/>
    <w:rsid w:val="00A07B65"/>
    <w:rsid w:val="00A13691"/>
    <w:rsid w:val="00A46817"/>
    <w:rsid w:val="00A9710F"/>
    <w:rsid w:val="00B438E9"/>
    <w:rsid w:val="00BB4A97"/>
    <w:rsid w:val="00BE1224"/>
    <w:rsid w:val="00BF2514"/>
    <w:rsid w:val="00CB7942"/>
    <w:rsid w:val="00D05504"/>
    <w:rsid w:val="00D162FE"/>
    <w:rsid w:val="00D624CB"/>
    <w:rsid w:val="00E542E7"/>
    <w:rsid w:val="00F8686B"/>
    <w:rsid w:val="00F9639E"/>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A6F4C6"/>
  <w15:docId w15:val="{D91DEB15-8EB9-4399-934D-07DB1FEBA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pBdr>
        <w:top w:val="nil"/>
        <w:left w:val="nil"/>
        <w:bottom w:val="nil"/>
        <w:right w:val="nil"/>
        <w:between w:val="nil"/>
      </w:pBdr>
      <w:spacing w:before="480"/>
      <w:outlineLvl w:val="0"/>
    </w:pPr>
    <w:rPr>
      <w:rFonts w:ascii="Calibri" w:eastAsia="Calibri" w:hAnsi="Calibri" w:cs="Calibri"/>
      <w:b/>
      <w:color w:val="366091"/>
      <w:sz w:val="28"/>
      <w:szCs w:val="28"/>
    </w:rPr>
  </w:style>
  <w:style w:type="paragraph" w:styleId="Ttulo2">
    <w:name w:val="heading 2"/>
    <w:basedOn w:val="Normal"/>
    <w:next w:val="Normal"/>
    <w:uiPriority w:val="9"/>
    <w:semiHidden/>
    <w:unhideWhenUsed/>
    <w:qFormat/>
    <w:pPr>
      <w:keepNext/>
      <w:pBdr>
        <w:top w:val="nil"/>
        <w:left w:val="nil"/>
        <w:bottom w:val="nil"/>
        <w:right w:val="nil"/>
        <w:between w:val="nil"/>
      </w:pBdr>
      <w:tabs>
        <w:tab w:val="left" w:pos="1701"/>
      </w:tabs>
      <w:jc w:val="center"/>
      <w:outlineLvl w:val="1"/>
    </w:pPr>
    <w:rPr>
      <w:rFonts w:ascii="Times New Roman" w:eastAsia="Times New Roman" w:hAnsi="Times New Roman" w:cs="Times New Roman"/>
      <w:b/>
      <w:color w:val="000000"/>
    </w:rPr>
  </w:style>
  <w:style w:type="paragraph" w:styleId="Ttulo3">
    <w:name w:val="heading 3"/>
    <w:basedOn w:val="Normal"/>
    <w:next w:val="Normal"/>
    <w:uiPriority w:val="9"/>
    <w:semiHidden/>
    <w:unhideWhenUsed/>
    <w:qFormat/>
    <w:pPr>
      <w:keepNext/>
      <w:keepLines/>
      <w:pBdr>
        <w:top w:val="nil"/>
        <w:left w:val="nil"/>
        <w:bottom w:val="nil"/>
        <w:right w:val="nil"/>
        <w:between w:val="nil"/>
      </w:pBdr>
      <w:spacing w:before="40" w:line="259" w:lineRule="auto"/>
      <w:outlineLvl w:val="2"/>
    </w:pPr>
    <w:rPr>
      <w:rFonts w:ascii="Calibri" w:eastAsia="Calibri" w:hAnsi="Calibri" w:cs="Calibri"/>
      <w:color w:val="243F61"/>
    </w:rPr>
  </w:style>
  <w:style w:type="paragraph" w:styleId="Ttulo4">
    <w:name w:val="heading 4"/>
    <w:basedOn w:val="Normal"/>
    <w:next w:val="Normal"/>
    <w:uiPriority w:val="9"/>
    <w:semiHidden/>
    <w:unhideWhenUsed/>
    <w:qFormat/>
    <w:pPr>
      <w:keepNext/>
      <w:keepLines/>
      <w:pBdr>
        <w:top w:val="nil"/>
        <w:left w:val="nil"/>
        <w:bottom w:val="nil"/>
        <w:right w:val="nil"/>
        <w:between w:val="nil"/>
      </w:pBdr>
      <w:spacing w:before="40"/>
      <w:outlineLvl w:val="3"/>
    </w:pPr>
    <w:rPr>
      <w:rFonts w:ascii="Calibri" w:eastAsia="Calibri" w:hAnsi="Calibri" w:cs="Calibri"/>
      <w:i/>
      <w:color w:val="366091"/>
    </w:rPr>
  </w:style>
  <w:style w:type="paragraph" w:styleId="Ttulo5">
    <w:name w:val="heading 5"/>
    <w:basedOn w:val="Normal"/>
    <w:next w:val="Normal"/>
    <w:uiPriority w:val="9"/>
    <w:semiHidden/>
    <w:unhideWhenUsed/>
    <w:qFormat/>
    <w:pPr>
      <w:keepNext/>
      <w:keepLines/>
      <w:pBdr>
        <w:top w:val="nil"/>
        <w:left w:val="nil"/>
        <w:bottom w:val="nil"/>
        <w:right w:val="nil"/>
        <w:between w:val="nil"/>
      </w:pBdr>
      <w:spacing w:before="220" w:after="40"/>
      <w:outlineLvl w:val="4"/>
    </w:pPr>
    <w:rPr>
      <w:b/>
      <w:color w:val="000000"/>
      <w:sz w:val="22"/>
      <w:szCs w:val="22"/>
    </w:rPr>
  </w:style>
  <w:style w:type="paragraph" w:styleId="Ttulo6">
    <w:name w:val="heading 6"/>
    <w:basedOn w:val="Normal"/>
    <w:next w:val="Normal"/>
    <w:uiPriority w:val="9"/>
    <w:semiHidden/>
    <w:unhideWhenUsed/>
    <w:qFormat/>
    <w:pPr>
      <w:keepNext/>
      <w:keepLines/>
      <w:pBdr>
        <w:top w:val="nil"/>
        <w:left w:val="nil"/>
        <w:bottom w:val="nil"/>
        <w:right w:val="nil"/>
        <w:between w:val="nil"/>
      </w:pBdr>
      <w:spacing w:before="40" w:line="259" w:lineRule="auto"/>
      <w:outlineLvl w:val="5"/>
    </w:pPr>
    <w:rPr>
      <w:rFonts w:ascii="Calibri" w:eastAsia="Calibri" w:hAnsi="Calibri" w:cs="Calibri"/>
      <w:color w:val="243F61"/>
      <w:sz w:val="22"/>
      <w:szCs w:val="22"/>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pBdr>
        <w:top w:val="nil"/>
        <w:left w:val="nil"/>
        <w:bottom w:val="single" w:sz="8" w:space="4" w:color="4F81BD"/>
        <w:right w:val="nil"/>
        <w:between w:val="nil"/>
      </w:pBdr>
      <w:spacing w:after="300"/>
    </w:pPr>
    <w:rPr>
      <w:rFonts w:ascii="Calibri" w:eastAsia="Calibri" w:hAnsi="Calibri" w:cs="Calibri"/>
      <w:color w:val="17365D"/>
      <w:sz w:val="52"/>
      <w:szCs w:val="52"/>
    </w:rPr>
  </w:style>
  <w:style w:type="table" w:customStyle="1" w:styleId="TableNormal0">
    <w:name w:val="TableNormal"/>
    <w:tblPr>
      <w:tblCellMar>
        <w:top w:w="100" w:type="dxa"/>
        <w:left w:w="100" w:type="dxa"/>
        <w:bottom w:w="100" w:type="dxa"/>
        <w:right w:w="100" w:type="dxa"/>
      </w:tblCellMar>
    </w:tblPr>
  </w:style>
  <w:style w:type="paragraph" w:customStyle="1" w:styleId="Normal1">
    <w:name w:val="Normal1"/>
    <w:rsid w:val="005312E6"/>
  </w:style>
  <w:style w:type="table" w:customStyle="1" w:styleId="TableNormal1">
    <w:name w:val="TableNormal"/>
    <w:rsid w:val="005312E6"/>
    <w:tblPr>
      <w:tblCellMar>
        <w:top w:w="0" w:type="dxa"/>
        <w:left w:w="0" w:type="dxa"/>
        <w:bottom w:w="0" w:type="dxa"/>
        <w:right w:w="0" w:type="dxa"/>
      </w:tblCellMar>
    </w:tblPr>
  </w:style>
  <w:style w:type="paragraph" w:customStyle="1" w:styleId="Normal10">
    <w:name w:val="Normal1"/>
    <w:rsid w:val="00F26189"/>
  </w:style>
  <w:style w:type="table" w:customStyle="1" w:styleId="TableNormal2">
    <w:name w:val="Table Normal"/>
    <w:rsid w:val="00F26189"/>
    <w:tblPr>
      <w:tblCellMar>
        <w:top w:w="0" w:type="dxa"/>
        <w:left w:w="0" w:type="dxa"/>
        <w:bottom w:w="0" w:type="dxa"/>
        <w:right w:w="0" w:type="dxa"/>
      </w:tblCellMar>
    </w:tblPr>
  </w:style>
  <w:style w:type="paragraph" w:styleId="PargrafodaLista">
    <w:name w:val="List Paragraph"/>
    <w:basedOn w:val="Normal1"/>
    <w:link w:val="PargrafodaListaChar"/>
    <w:uiPriority w:val="34"/>
    <w:qFormat/>
    <w:rsid w:val="004773FC"/>
    <w:pPr>
      <w:ind w:left="720"/>
      <w:contextualSpacing/>
    </w:pPr>
  </w:style>
  <w:style w:type="paragraph" w:styleId="NormalWeb">
    <w:name w:val="Normal (Web)"/>
    <w:basedOn w:val="Normal1"/>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1"/>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rsid w:val="004B460A"/>
    <w:rPr>
      <w:b/>
      <w:color w:val="000000"/>
      <w:sz w:val="24"/>
    </w:rPr>
  </w:style>
  <w:style w:type="paragraph" w:customStyle="1" w:styleId="Nvel2">
    <w:name w:val="Nível 2"/>
    <w:basedOn w:val="Normal1"/>
    <w:next w:val="Normal1"/>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1"/>
    <w:next w:val="Normal1"/>
    <w:link w:val="Citao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uiPriority w:val="29"/>
    <w:qFormat/>
    <w:rsid w:val="00080B53"/>
    <w:rPr>
      <w:rFonts w:ascii="Arial" w:eastAsia="Calibri" w:hAnsi="Arial" w:cs="Tahoma"/>
      <w:i/>
      <w:iCs/>
      <w:color w:val="000000"/>
      <w:szCs w:val="24"/>
      <w:shd w:val="clear" w:color="auto" w:fill="FFFFCC"/>
    </w:rPr>
  </w:style>
  <w:style w:type="paragraph" w:styleId="Commarcadores5">
    <w:name w:val="List Bullet 5"/>
    <w:basedOn w:val="Normal1"/>
    <w:rsid w:val="001A3A05"/>
    <w:pPr>
      <w:tabs>
        <w:tab w:val="num" w:pos="720"/>
      </w:tabs>
      <w:ind w:left="720" w:hanging="72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1"/>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1"/>
    <w:link w:val="RodapChar"/>
    <w:uiPriority w:val="99"/>
    <w:rsid w:val="00CA24FB"/>
    <w:pPr>
      <w:tabs>
        <w:tab w:val="center" w:pos="4252"/>
        <w:tab w:val="right" w:pos="8504"/>
      </w:tabs>
    </w:pPr>
  </w:style>
  <w:style w:type="character" w:customStyle="1" w:styleId="RodapChar">
    <w:name w:val="Rodapé Char"/>
    <w:link w:val="Rodap"/>
    <w:uiPriority w:val="99"/>
    <w:rsid w:val="00CA24FB"/>
    <w:rPr>
      <w:rFonts w:ascii="Ecofont_Spranq_eco_Sans" w:hAnsi="Ecofont_Spranq_eco_Sans" w:cs="Tahoma"/>
      <w:sz w:val="24"/>
      <w:szCs w:val="24"/>
    </w:rPr>
  </w:style>
  <w:style w:type="numbering" w:customStyle="1" w:styleId="Estilo1">
    <w:name w:val="Estilo1"/>
    <w:uiPriority w:val="99"/>
    <w:rsid w:val="008C6874"/>
  </w:style>
  <w:style w:type="numbering" w:customStyle="1" w:styleId="Estilo2">
    <w:name w:val="Estilo2"/>
    <w:uiPriority w:val="99"/>
    <w:rsid w:val="00A72B79"/>
  </w:style>
  <w:style w:type="numbering" w:customStyle="1" w:styleId="Estilo3">
    <w:name w:val="Estilo3"/>
    <w:uiPriority w:val="99"/>
    <w:rsid w:val="00A72B79"/>
  </w:style>
  <w:style w:type="numbering" w:customStyle="1" w:styleId="Estilo4">
    <w:name w:val="Estilo4"/>
    <w:uiPriority w:val="99"/>
    <w:rsid w:val="0054016D"/>
  </w:style>
  <w:style w:type="numbering" w:customStyle="1" w:styleId="Estilo5">
    <w:name w:val="Estilo5"/>
    <w:uiPriority w:val="99"/>
    <w:rsid w:val="0054016D"/>
  </w:style>
  <w:style w:type="numbering" w:customStyle="1" w:styleId="Estilo6">
    <w:name w:val="Estilo6"/>
    <w:uiPriority w:val="99"/>
    <w:rsid w:val="0054016D"/>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1"/>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next w:val="Normal1"/>
    <w:link w:val="Nivel01Char"/>
    <w:autoRedefine/>
    <w:qFormat/>
    <w:rsid w:val="00C92D99"/>
    <w:pPr>
      <w:tabs>
        <w:tab w:val="left" w:pos="567"/>
        <w:tab w:val="num" w:pos="720"/>
      </w:tabs>
      <w:spacing w:before="240" w:after="120" w:line="276" w:lineRule="auto"/>
      <w:jc w:val="both"/>
    </w:pPr>
    <w:rPr>
      <w:rFonts w:ascii="Arial" w:hAnsi="Arial" w:cs="Arial"/>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character" w:customStyle="1" w:styleId="TtuloChar">
    <w:name w:val="Título Char"/>
    <w:basedOn w:val="Fontepargpadr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C92D99"/>
    <w:rPr>
      <w:rFonts w:ascii="Arial" w:eastAsiaTheme="majorEastAsia" w:hAnsi="Arial" w:cs="Arial"/>
      <w:b/>
      <w:bCs/>
      <w:color w:val="17365D" w:themeColor="text2" w:themeShade="BF"/>
      <w:spacing w:val="5"/>
      <w:kern w:val="28"/>
      <w:sz w:val="20"/>
      <w:szCs w:val="20"/>
      <w:lang w:eastAsia="pt-BR"/>
    </w:rPr>
  </w:style>
  <w:style w:type="character" w:customStyle="1" w:styleId="Ttulo1Char">
    <w:name w:val="Título 1 Char"/>
    <w:basedOn w:val="Fontepargpadro"/>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eastAsia="WenQuanYi Micro Hei" w:cs="Lohit Hindi"/>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1"/>
    <w:next w:val="Normal1"/>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1"/>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1"/>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link w:val="Nivel1Char"/>
    <w:qFormat/>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1"/>
    <w:rsid w:val="00D30A43"/>
    <w:pPr>
      <w:ind w:left="720"/>
    </w:pPr>
    <w:rPr>
      <w:rFonts w:eastAsia="Times New Roman"/>
    </w:rPr>
  </w:style>
  <w:style w:type="paragraph" w:customStyle="1" w:styleId="Nivel2">
    <w:name w:val="Nivel 2"/>
    <w:basedOn w:val="Normal1"/>
    <w:link w:val="Nivel2Char"/>
    <w:autoRedefine/>
    <w:qFormat/>
    <w:rsid w:val="00DE31C5"/>
    <w:pPr>
      <w:tabs>
        <w:tab w:val="num" w:pos="1440"/>
      </w:tabs>
      <w:spacing w:before="120" w:after="120" w:line="276" w:lineRule="auto"/>
      <w:jc w:val="both"/>
    </w:pPr>
    <w:rPr>
      <w:rFonts w:ascii="Arial" w:hAnsi="Arial" w:cs="Arial"/>
      <w:color w:val="000000"/>
      <w:sz w:val="20"/>
      <w:szCs w:val="20"/>
      <w:lang w:eastAsia="en-US"/>
    </w:rPr>
  </w:style>
  <w:style w:type="paragraph" w:customStyle="1" w:styleId="Nivel10">
    <w:name w:val="Nivel 1"/>
    <w:basedOn w:val="Nivel2"/>
    <w:next w:val="Nivel2"/>
    <w:rsid w:val="003629E4"/>
    <w:pPr>
      <w:tabs>
        <w:tab w:val="clear" w:pos="1440"/>
      </w:tabs>
      <w:ind w:left="360" w:hanging="360"/>
    </w:pPr>
    <w:rPr>
      <w:b/>
    </w:rPr>
  </w:style>
  <w:style w:type="paragraph" w:customStyle="1" w:styleId="Nivel3">
    <w:name w:val="Nivel 3"/>
    <w:basedOn w:val="Normal1"/>
    <w:link w:val="Nivel3Char"/>
    <w:autoRedefine/>
    <w:qFormat/>
    <w:rsid w:val="00775DCE"/>
    <w:pPr>
      <w:tabs>
        <w:tab w:val="num" w:pos="2160"/>
      </w:tabs>
      <w:spacing w:before="120" w:after="120" w:line="276" w:lineRule="auto"/>
      <w:ind w:left="284"/>
      <w:jc w:val="both"/>
    </w:pPr>
    <w:rPr>
      <w:rFonts w:ascii="Arial" w:hAnsi="Arial" w:cs="Arial"/>
      <w:color w:val="000000"/>
      <w:sz w:val="20"/>
      <w:szCs w:val="20"/>
      <w:lang w:eastAsia="en-US"/>
    </w:rPr>
  </w:style>
  <w:style w:type="paragraph" w:customStyle="1" w:styleId="Nivel4">
    <w:name w:val="Nivel 4"/>
    <w:basedOn w:val="Nivel3"/>
    <w:link w:val="Nivel4Char"/>
    <w:autoRedefine/>
    <w:qFormat/>
    <w:rsid w:val="00EC49E9"/>
    <w:pPr>
      <w:numPr>
        <w:ilvl w:val="3"/>
      </w:numPr>
      <w:tabs>
        <w:tab w:val="num" w:pos="2160"/>
      </w:tabs>
      <w:ind w:left="567"/>
    </w:pPr>
    <w:rPr>
      <w:color w:val="auto"/>
    </w:rPr>
  </w:style>
  <w:style w:type="paragraph" w:customStyle="1" w:styleId="Nivel5">
    <w:name w:val="Nivel 5"/>
    <w:basedOn w:val="Nivel4"/>
    <w:autoRedefine/>
    <w:qFormat/>
    <w:rsid w:val="004B3BD3"/>
    <w:pPr>
      <w:numPr>
        <w:ilvl w:val="4"/>
      </w:numPr>
      <w:tabs>
        <w:tab w:val="num" w:pos="2160"/>
      </w:tabs>
      <w:ind w:left="1928" w:hanging="1077"/>
    </w:pPr>
  </w:style>
  <w:style w:type="character" w:customStyle="1" w:styleId="Nivel4Char">
    <w:name w:val="Nivel 4 Char"/>
    <w:basedOn w:val="Fontepargpadro"/>
    <w:link w:val="Nivel4"/>
    <w:rsid w:val="00EC49E9"/>
    <w:rPr>
      <w:rFonts w:ascii="Arial" w:hAnsi="Arial" w:cs="Arial"/>
      <w:lang w:eastAsia="pt-BR"/>
    </w:rPr>
  </w:style>
  <w:style w:type="paragraph" w:customStyle="1" w:styleId="textbody">
    <w:name w:val="textbody"/>
    <w:basedOn w:val="Normal1"/>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1"/>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eastAsia="Times New Roman" w:cs="Tahoma"/>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1"/>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1"/>
    <w:next w:val="Normal1"/>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1"/>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1"/>
    <w:rsid w:val="00D30A43"/>
    <w:pPr>
      <w:ind w:firstLine="1134"/>
      <w:jc w:val="both"/>
    </w:pPr>
    <w:rPr>
      <w:rFonts w:ascii="Times New Roman" w:eastAsia="Times New Roman" w:hAnsi="Times New Roman" w:cs="Times New Roman"/>
      <w:szCs w:val="22"/>
      <w:lang w:eastAsia="en-US"/>
    </w:rPr>
  </w:style>
  <w:style w:type="paragraph" w:customStyle="1" w:styleId="Normal11">
    <w:name w:val="Normal_1"/>
    <w:rsid w:val="00D30A43"/>
    <w:rPr>
      <w:rFonts w:eastAsia="Times New Roman"/>
      <w:szCs w:val="22"/>
    </w:rPr>
  </w:style>
  <w:style w:type="paragraph" w:customStyle="1" w:styleId="tcu-ac-item9-1linha">
    <w:name w:val="tcu_-__ac_-_item_9_-_1ª_linha"/>
    <w:basedOn w:val="Normal1"/>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1"/>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1"/>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DE31C5"/>
    <w:rPr>
      <w:rFonts w:ascii="Arial" w:hAnsi="Arial" w:cs="Arial"/>
      <w:color w:val="000000"/>
      <w:sz w:val="20"/>
      <w:szCs w:val="20"/>
      <w:lang w:eastAsia="en-US"/>
    </w:rPr>
  </w:style>
  <w:style w:type="paragraph" w:customStyle="1" w:styleId="Nvel2Opcional">
    <w:name w:val="Nível 2 Opcional"/>
    <w:basedOn w:val="Nivel2"/>
    <w:link w:val="Nvel2OpcionalChar"/>
    <w:rsid w:val="00A831D9"/>
    <w:pPr>
      <w:tabs>
        <w:tab w:val="clear" w:pos="1440"/>
      </w:tabs>
      <w:ind w:left="432" w:hanging="432"/>
    </w:pPr>
    <w:rPr>
      <w:rFonts w:eastAsia="Times New Roman"/>
      <w:i/>
      <w:noProof/>
      <w:color w:val="FF0000"/>
    </w:rPr>
  </w:style>
  <w:style w:type="paragraph" w:customStyle="1" w:styleId="Nvel3Opcional">
    <w:name w:val="Nível 3 Opcional"/>
    <w:basedOn w:val="Nivel3"/>
    <w:link w:val="Nvel3OpcionalChar"/>
    <w:rsid w:val="00A831D9"/>
    <w:pPr>
      <w:tabs>
        <w:tab w:val="clear" w:pos="2160"/>
      </w:tabs>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1"/>
    <w:next w:val="Normal1"/>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1"/>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1"/>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1"/>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1"/>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autoRedefine/>
    <w:qFormat/>
    <w:rsid w:val="00EB73ED"/>
    <w:pPr>
      <w:spacing w:before="120" w:afterLines="120" w:line="312" w:lineRule="auto"/>
      <w:ind w:left="0" w:firstLine="567"/>
      <w:contextualSpacing w:val="0"/>
      <w:jc w:val="center"/>
    </w:pPr>
    <w:rPr>
      <w:rFonts w:ascii="Arial" w:eastAsiaTheme="minorHAnsi" w:hAnsi="Arial" w:cs="Arial"/>
      <w:b/>
      <w:bCs/>
      <w:i/>
      <w:iCs/>
      <w:color w:val="FF0000"/>
      <w:sz w:val="20"/>
      <w:u w:val="single"/>
    </w:rPr>
  </w:style>
  <w:style w:type="character" w:customStyle="1" w:styleId="ouChar">
    <w:name w:val="ou Char"/>
    <w:basedOn w:val="PargrafodaListaChar"/>
    <w:link w:val="ou"/>
    <w:rsid w:val="00EB73ED"/>
    <w:rPr>
      <w:rFonts w:ascii="Arial" w:eastAsiaTheme="minorHAnsi" w:hAnsi="Arial" w:cs="Arial"/>
      <w:b/>
      <w:bCs/>
      <w:i/>
      <w:iCs/>
      <w:color w:val="FF0000"/>
      <w:sz w:val="24"/>
      <w:szCs w:val="24"/>
      <w:u w:val="single"/>
      <w:lang w:eastAsia="pt-BR"/>
    </w:rPr>
  </w:style>
  <w:style w:type="paragraph" w:customStyle="1" w:styleId="dou-paragraph">
    <w:name w:val="dou-paragraph"/>
    <w:basedOn w:val="Normal1"/>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autoRedefine/>
    <w:qFormat/>
    <w:rsid w:val="00412FA4"/>
    <w:rPr>
      <w:i/>
      <w:iCs/>
      <w:color w:val="auto"/>
    </w:rPr>
  </w:style>
  <w:style w:type="paragraph" w:customStyle="1" w:styleId="Nvel3-R">
    <w:name w:val="Nível 3-R"/>
    <w:basedOn w:val="Nivel3"/>
    <w:link w:val="Nvel3-RChar"/>
    <w:qFormat/>
    <w:rsid w:val="00D42AFB"/>
    <w:pPr>
      <w:ind w:left="1638" w:hanging="504"/>
    </w:pPr>
    <w:rPr>
      <w:i/>
      <w:iCs/>
      <w:color w:val="FF0000"/>
    </w:rPr>
  </w:style>
  <w:style w:type="character" w:customStyle="1" w:styleId="Nvel2-RedChar">
    <w:name w:val="Nível 2 -Red Char"/>
    <w:basedOn w:val="Nivel2Char"/>
    <w:link w:val="Nvel2-Red"/>
    <w:rsid w:val="00412FA4"/>
    <w:rPr>
      <w:rFonts w:ascii="Arial" w:hAnsi="Arial" w:cs="Arial"/>
      <w:i/>
      <w:iCs/>
      <w:color w:val="000000"/>
      <w:sz w:val="20"/>
      <w:szCs w:val="20"/>
      <w:lang w:eastAsia="en-US"/>
    </w:rPr>
  </w:style>
  <w:style w:type="paragraph" w:customStyle="1" w:styleId="Nvel4-R">
    <w:name w:val="Nível 4-R"/>
    <w:basedOn w:val="Nivel4"/>
    <w:link w:val="Nvel4-RChar"/>
    <w:autoRedefine/>
    <w:qFormat/>
    <w:rsid w:val="004B3BD3"/>
    <w:rPr>
      <w:i/>
      <w:iCs/>
      <w:color w:val="FF0000"/>
    </w:rPr>
  </w:style>
  <w:style w:type="character" w:customStyle="1" w:styleId="Nivel3Char">
    <w:name w:val="Nivel 3 Char"/>
    <w:basedOn w:val="Fontepargpadro"/>
    <w:link w:val="Nivel3"/>
    <w:rsid w:val="00775DCE"/>
    <w:rPr>
      <w:rFonts w:ascii="Arial" w:hAnsi="Arial" w:cs="Arial"/>
      <w:color w:val="000000"/>
      <w:sz w:val="20"/>
      <w:szCs w:val="20"/>
      <w:lang w:eastAsia="en-US"/>
    </w:rPr>
  </w:style>
  <w:style w:type="character" w:customStyle="1" w:styleId="Nvel3-RChar">
    <w:name w:val="Nível 3-R Char"/>
    <w:basedOn w:val="Nivel3Char"/>
    <w:link w:val="Nvel3-R"/>
    <w:rsid w:val="00D42AFB"/>
    <w:rPr>
      <w:rFonts w:ascii="Arial" w:hAnsi="Arial" w:cs="Arial"/>
      <w:i/>
      <w:iCs/>
      <w:color w:val="FF0000"/>
      <w:sz w:val="20"/>
      <w:szCs w:val="20"/>
      <w:lang w:eastAsia="pt-BR"/>
    </w:rPr>
  </w:style>
  <w:style w:type="paragraph" w:customStyle="1" w:styleId="Nvel1-SemNum">
    <w:name w:val="Nível 1-Sem Num"/>
    <w:basedOn w:val="Nivel01"/>
    <w:link w:val="Nvel1-SemNumChar"/>
    <w:autoRedefine/>
    <w:qFormat/>
    <w:rsid w:val="00155060"/>
    <w:pPr>
      <w:tabs>
        <w:tab w:val="clear" w:pos="720"/>
      </w:tabs>
      <w:outlineLvl w:val="1"/>
    </w:pPr>
  </w:style>
  <w:style w:type="character" w:customStyle="1" w:styleId="Nvel4-RChar">
    <w:name w:val="Nível 4-R Char"/>
    <w:basedOn w:val="Nivel4Char"/>
    <w:link w:val="Nvel4-R"/>
    <w:rsid w:val="004B3BD3"/>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155060"/>
    <w:rPr>
      <w:rFonts w:ascii="Arial" w:eastAsiaTheme="majorEastAsia" w:hAnsi="Arial" w:cs="Arial"/>
      <w:b/>
      <w:bCs/>
      <w:color w:val="7030A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1"/>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citao2Char">
    <w:name w:val="citação 2 Char"/>
    <w:basedOn w:val="CitaoChar"/>
    <w:link w:val="citao2"/>
    <w:rsid w:val="00FF2673"/>
    <w:rPr>
      <w:rFonts w:ascii="Arial" w:eastAsia="Calibri" w:hAnsi="Arial" w:cs="Tahoma"/>
      <w:i/>
      <w:iCs/>
      <w:color w:val="000000"/>
      <w:szCs w:val="24"/>
      <w:shd w:val="clear" w:color="auto" w:fill="FFFFCC"/>
    </w:rPr>
  </w:style>
  <w:style w:type="character" w:customStyle="1" w:styleId="MenoPendente5">
    <w:name w:val="Menção Pendente5"/>
    <w:basedOn w:val="Fontepargpadro"/>
    <w:uiPriority w:val="99"/>
    <w:semiHidden/>
    <w:unhideWhenUsed/>
    <w:rsid w:val="00400869"/>
    <w:rPr>
      <w:color w:val="605E5C"/>
      <w:shd w:val="clear" w:color="auto" w:fill="E1DFDD"/>
    </w:rPr>
  </w:style>
  <w:style w:type="character" w:customStyle="1" w:styleId="Mentionnonrsolue1">
    <w:name w:val="Mention non résolue1"/>
    <w:basedOn w:val="Fontepargpadro"/>
    <w:uiPriority w:val="99"/>
    <w:semiHidden/>
    <w:unhideWhenUsed/>
    <w:rsid w:val="000905EA"/>
    <w:rPr>
      <w:color w:val="605E5C"/>
      <w:shd w:val="clear" w:color="auto" w:fill="E1DFDD"/>
    </w:rPr>
  </w:style>
  <w:style w:type="character" w:customStyle="1" w:styleId="MenoPendente6">
    <w:name w:val="Menção Pendente6"/>
    <w:basedOn w:val="Fontepargpadro"/>
    <w:uiPriority w:val="99"/>
    <w:semiHidden/>
    <w:unhideWhenUsed/>
    <w:rsid w:val="00694E6B"/>
    <w:rPr>
      <w:color w:val="605E5C"/>
      <w:shd w:val="clear" w:color="auto" w:fill="E1DFDD"/>
    </w:rPr>
  </w:style>
  <w:style w:type="paragraph" w:customStyle="1" w:styleId="Nivel3-erro">
    <w:name w:val="Nivel 3-erro"/>
    <w:basedOn w:val="Normal1"/>
    <w:link w:val="Nivel3-erroChar"/>
    <w:uiPriority w:val="1"/>
    <w:qFormat/>
    <w:rsid w:val="6408EE53"/>
    <w:pPr>
      <w:spacing w:before="120" w:after="120"/>
      <w:ind w:left="425"/>
      <w:jc w:val="both"/>
    </w:pPr>
    <w:rPr>
      <w:rFonts w:ascii="Arial" w:hAnsi="Arial"/>
      <w:sz w:val="20"/>
      <w:szCs w:val="20"/>
    </w:rPr>
  </w:style>
  <w:style w:type="character" w:customStyle="1" w:styleId="Nivel3-erroChar">
    <w:name w:val="Nivel 3-erro Char"/>
    <w:basedOn w:val="Fontepargpadro"/>
    <w:link w:val="Nivel3-erro"/>
    <w:uiPriority w:val="1"/>
    <w:rsid w:val="6408EE53"/>
    <w:rPr>
      <w:rFonts w:ascii="Arial" w:hAnsi="Arial" w:cs="Tahoma"/>
      <w:sz w:val="20"/>
      <w:szCs w:val="20"/>
    </w:rPr>
  </w:style>
  <w:style w:type="paragraph" w:customStyle="1" w:styleId="Nvel1-SemBlack">
    <w:name w:val="Nível 1-Sem Black"/>
    <w:basedOn w:val="Nvel1-SemNum"/>
    <w:link w:val="Nvel1-SemBlackChar"/>
    <w:qFormat/>
    <w:rsid w:val="00C841BE"/>
  </w:style>
  <w:style w:type="character" w:customStyle="1" w:styleId="Nvel1-SemBlackChar">
    <w:name w:val="Nível 1-Sem Black Char"/>
    <w:basedOn w:val="Nvel1-SemNumChar"/>
    <w:link w:val="Nvel1-SemBlack"/>
    <w:rsid w:val="00C841BE"/>
    <w:rPr>
      <w:rFonts w:ascii="Arial" w:eastAsiaTheme="majorEastAsia" w:hAnsi="Arial" w:cs="Arial"/>
      <w:b/>
      <w:bCs/>
      <w:color w:val="FF0000"/>
      <w:spacing w:val="5"/>
      <w:kern w:val="28"/>
      <w:sz w:val="52"/>
      <w:szCs w:val="52"/>
      <w:lang w:eastAsia="pt-BR"/>
    </w:rPr>
  </w:style>
  <w:style w:type="paragraph" w:customStyle="1" w:styleId="ApTexto">
    <w:name w:val="ApTexto"/>
    <w:basedOn w:val="Normal1"/>
    <w:link w:val="ApTextoChar"/>
    <w:qFormat/>
    <w:rsid w:val="007F7B1A"/>
    <w:pPr>
      <w:spacing w:before="120" w:after="120"/>
      <w:ind w:firstLine="1134"/>
      <w:jc w:val="both"/>
    </w:pPr>
    <w:rPr>
      <w:rFonts w:asciiTheme="majorHAnsi" w:eastAsia="Calibri" w:hAnsiTheme="majorHAnsi" w:cstheme="majorHAnsi"/>
      <w:lang w:eastAsia="en-US"/>
    </w:rPr>
  </w:style>
  <w:style w:type="character" w:customStyle="1" w:styleId="ApTextoChar">
    <w:name w:val="ApTexto Char"/>
    <w:basedOn w:val="Fontepargpadro"/>
    <w:link w:val="ApTexto"/>
    <w:rsid w:val="007F7B1A"/>
    <w:rPr>
      <w:rFonts w:asciiTheme="majorHAnsi" w:eastAsia="Calibri" w:hAnsiTheme="majorHAnsi" w:cstheme="majorHAnsi"/>
      <w:sz w:val="24"/>
      <w:szCs w:val="24"/>
    </w:rPr>
  </w:style>
  <w:style w:type="table" w:customStyle="1" w:styleId="1">
    <w:name w:val="1"/>
    <w:basedOn w:val="TableNormal2"/>
    <w:rsid w:val="00F26189"/>
    <w:tblPr>
      <w:tblStyleRowBandSize w:val="1"/>
      <w:tblStyleColBandSize w:val="1"/>
      <w:tblCellMar>
        <w:left w:w="115" w:type="dxa"/>
        <w:right w:w="115" w:type="dxa"/>
      </w:tblCellMar>
    </w:tblPr>
  </w:style>
  <w:style w:type="paragraph" w:customStyle="1" w:styleId="TextosemFormatao1">
    <w:name w:val="Texto sem Formatação1"/>
    <w:basedOn w:val="Normal1"/>
    <w:rsid w:val="00C17165"/>
    <w:pPr>
      <w:suppressAutoHyphens/>
    </w:pPr>
    <w:rPr>
      <w:rFonts w:ascii="Courier New" w:eastAsia="Times New Roman" w:hAnsi="Courier New" w:cs="Times New Roman"/>
      <w:sz w:val="20"/>
      <w:szCs w:val="20"/>
      <w:lang w:eastAsia="ar-SA"/>
    </w:rPr>
  </w:style>
  <w:style w:type="paragraph" w:customStyle="1" w:styleId="TextosemFormatao2">
    <w:name w:val="Texto sem Formatação2"/>
    <w:basedOn w:val="Normal1"/>
    <w:rsid w:val="00C17165"/>
    <w:pPr>
      <w:suppressAutoHyphens/>
    </w:pPr>
    <w:rPr>
      <w:rFonts w:ascii="Courier New" w:eastAsia="Times New Roman" w:hAnsi="Courier New" w:cs="Times New Roman"/>
      <w:sz w:val="20"/>
      <w:szCs w:val="20"/>
      <w:lang w:eastAsia="ar-SA"/>
    </w:rPr>
  </w:style>
  <w:style w:type="table" w:customStyle="1" w:styleId="a">
    <w:basedOn w:val="TableNormal2"/>
    <w:rsid w:val="005312E6"/>
    <w:tblPr>
      <w:tblStyleRowBandSize w:val="1"/>
      <w:tblStyleColBandSize w:val="1"/>
      <w:tblCellMar>
        <w:left w:w="115" w:type="dxa"/>
        <w:right w:w="115" w:type="dxa"/>
      </w:tblCellMar>
    </w:tblPr>
  </w:style>
  <w:style w:type="table" w:customStyle="1" w:styleId="a0">
    <w:basedOn w:val="TableNormal2"/>
    <w:rsid w:val="005312E6"/>
    <w:tblPr>
      <w:tblStyleRowBandSize w:val="1"/>
      <w:tblStyleColBandSize w:val="1"/>
      <w:tblCellMar>
        <w:top w:w="100" w:type="dxa"/>
        <w:left w:w="100" w:type="dxa"/>
        <w:bottom w:w="100" w:type="dxa"/>
        <w:right w:w="100" w:type="dxa"/>
      </w:tblCellMar>
    </w:tblPr>
  </w:style>
  <w:style w:type="table" w:customStyle="1" w:styleId="a1">
    <w:basedOn w:val="TableNormal2"/>
    <w:rsid w:val="005312E6"/>
    <w:tblPr>
      <w:tblStyleRowBandSize w:val="1"/>
      <w:tblStyleColBandSize w:val="1"/>
      <w:tblCellMar>
        <w:top w:w="100" w:type="dxa"/>
        <w:left w:w="100" w:type="dxa"/>
        <w:bottom w:w="100" w:type="dxa"/>
        <w:right w:w="100"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top w:w="100" w:type="dxa"/>
        <w:left w:w="100" w:type="dxa"/>
        <w:bottom w:w="100" w:type="dxa"/>
        <w:right w:w="100" w:type="dxa"/>
      </w:tblCellMar>
    </w:tblPr>
  </w:style>
  <w:style w:type="table" w:customStyle="1" w:styleId="a4">
    <w:basedOn w:val="TableNormal1"/>
    <w:tblPr>
      <w:tblStyleRowBandSize w:val="1"/>
      <w:tblStyleColBandSize w:val="1"/>
      <w:tblCellMar>
        <w:top w:w="100" w:type="dxa"/>
        <w:left w:w="100" w:type="dxa"/>
        <w:bottom w:w="100" w:type="dxa"/>
        <w:right w:w="100" w:type="dxa"/>
      </w:tblCellMar>
    </w:tblPr>
  </w:style>
  <w:style w:type="paragraph" w:styleId="Subttulo">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5">
    <w:basedOn w:val="TableNormal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maps.app.goo.gl/HesVTNLT3siQQ9qX8"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decreto-lei/del5452.ht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LGgquUKzKH3KX1GAulC797eijw==">CgMxLjAyDmgud3hwamw1OGZvOHU5Mg5oLjhpbWExc2oxbWU3MzIOaC42NTl6ZnpzMmcyZ2cyDmguM2ZyZ3h0OHRycWU1Mg5oLnBhZ3RrMmx5M3Z1ZTIOaC4yMXhvb2ZjejlpMTIyDmguZmVubmR2NGNtN2FwMg5oLm8xazRhYjZvM3J5MDIOaC44eHU2YTA0bWdpYm0yDmgudTZmcmViM3l0cXV3OAByITFNNXJqaFhLNUJ0c1hrc0k3UjVEZ2x0aFpsbWtNV1RPSw==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25</Pages>
  <Words>11125</Words>
  <Characters>60080</Characters>
  <Application>Microsoft Office Word</Application>
  <DocSecurity>0</DocSecurity>
  <Lines>500</Lines>
  <Paragraphs>142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moniquejf@gmail.com</cp:lastModifiedBy>
  <cp:revision>10</cp:revision>
  <cp:lastPrinted>2026-01-16T14:21:00Z</cp:lastPrinted>
  <dcterms:created xsi:type="dcterms:W3CDTF">2025-12-16T11:22:00Z</dcterms:created>
  <dcterms:modified xsi:type="dcterms:W3CDTF">2026-01-16T14:39:00Z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0x01010017BA4F9D70754345ABE71C200CF16679</vt:lpwstr>
  </property>
</Properties>
</file>